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9B349" w14:textId="45060DA8" w:rsidR="001D5538" w:rsidRPr="00AD5276" w:rsidRDefault="000C3DD0" w:rsidP="003077C5">
      <w:pPr>
        <w:spacing w:after="120"/>
        <w:jc w:val="center"/>
        <w:rPr>
          <w:rFonts w:ascii="Arial" w:hAnsi="Arial" w:cs="Arial"/>
          <w:b/>
          <w:sz w:val="28"/>
        </w:rPr>
      </w:pPr>
      <w:r w:rsidRPr="000C3DD0">
        <w:rPr>
          <w:rFonts w:ascii="Arial" w:hAnsi="Arial" w:cs="Arial"/>
          <w:b/>
          <w:sz w:val="28"/>
        </w:rPr>
        <w:t>A New PIANC Standard of Practice for Managing Environmental Risks of Navigation Infrastructure Projects</w:t>
      </w:r>
    </w:p>
    <w:p w14:paraId="13463E73" w14:textId="620B68A1" w:rsidR="009937DE" w:rsidRDefault="009937DE" w:rsidP="009937DE">
      <w:pPr>
        <w:pStyle w:val="Title"/>
        <w:spacing w:after="200"/>
        <w:rPr>
          <w:bCs w:val="0"/>
          <w:i/>
          <w:iCs/>
          <w:szCs w:val="20"/>
          <w:lang w:eastAsia="en-US"/>
        </w:rPr>
      </w:pPr>
      <w:proofErr w:type="gramStart"/>
      <w:r>
        <w:rPr>
          <w:bCs w:val="0"/>
          <w:i/>
          <w:iCs/>
          <w:szCs w:val="20"/>
          <w:lang w:eastAsia="en-US"/>
        </w:rPr>
        <w:t>by</w:t>
      </w:r>
      <w:proofErr w:type="gramEnd"/>
    </w:p>
    <w:p w14:paraId="764281F6" w14:textId="74311B8B" w:rsidR="009937DE" w:rsidRPr="009937DE" w:rsidRDefault="000C3DD0" w:rsidP="009937DE">
      <w:pPr>
        <w:pStyle w:val="Title"/>
        <w:spacing w:after="200"/>
        <w:rPr>
          <w:szCs w:val="20"/>
          <w:vertAlign w:val="superscript"/>
          <w:lang w:val="en-GB"/>
        </w:rPr>
      </w:pPr>
      <w:r w:rsidRPr="000C3DD0">
        <w:rPr>
          <w:bCs w:val="0"/>
          <w:iCs/>
          <w:szCs w:val="20"/>
          <w:lang w:eastAsia="en-US"/>
        </w:rPr>
        <w:t>Burton C. Suedel1*, David W. Moore</w:t>
      </w:r>
      <w:r w:rsidR="00B4025A">
        <w:rPr>
          <w:bCs w:val="0"/>
          <w:iCs/>
          <w:szCs w:val="20"/>
          <w:lang w:eastAsia="en-US"/>
        </w:rPr>
        <w:t>1</w:t>
      </w:r>
      <w:r w:rsidRPr="000C3DD0">
        <w:rPr>
          <w:bCs w:val="0"/>
          <w:iCs/>
          <w:szCs w:val="20"/>
          <w:lang w:eastAsia="en-US"/>
        </w:rPr>
        <w:t>, Capt. Kevin Allen</w:t>
      </w:r>
      <w:r w:rsidR="00B4025A">
        <w:rPr>
          <w:bCs w:val="0"/>
          <w:iCs/>
          <w:szCs w:val="20"/>
          <w:lang w:eastAsia="en-US"/>
        </w:rPr>
        <w:t>2</w:t>
      </w:r>
      <w:r w:rsidRPr="000C3DD0">
        <w:rPr>
          <w:bCs w:val="0"/>
          <w:iCs/>
          <w:szCs w:val="20"/>
          <w:lang w:eastAsia="en-US"/>
        </w:rPr>
        <w:t>, Rebecca Gardner</w:t>
      </w:r>
      <w:r w:rsidR="00B4025A">
        <w:rPr>
          <w:bCs w:val="0"/>
          <w:iCs/>
          <w:szCs w:val="20"/>
          <w:lang w:eastAsia="en-US"/>
        </w:rPr>
        <w:t>3</w:t>
      </w:r>
      <w:r w:rsidRPr="000C3DD0">
        <w:rPr>
          <w:bCs w:val="0"/>
          <w:iCs/>
          <w:szCs w:val="20"/>
          <w:lang w:eastAsia="en-US"/>
        </w:rPr>
        <w:t>, Kevin Kane</w:t>
      </w:r>
      <w:r w:rsidR="00B4025A">
        <w:rPr>
          <w:bCs w:val="0"/>
          <w:iCs/>
          <w:szCs w:val="20"/>
          <w:lang w:eastAsia="en-US"/>
        </w:rPr>
        <w:t>4</w:t>
      </w:r>
      <w:r w:rsidRPr="000C3DD0">
        <w:rPr>
          <w:bCs w:val="0"/>
          <w:iCs/>
          <w:szCs w:val="20"/>
          <w:lang w:eastAsia="en-US"/>
        </w:rPr>
        <w:t>, John Lally</w:t>
      </w:r>
      <w:r w:rsidR="00B4025A">
        <w:rPr>
          <w:bCs w:val="0"/>
          <w:iCs/>
          <w:szCs w:val="20"/>
          <w:lang w:eastAsia="en-US"/>
        </w:rPr>
        <w:t>5</w:t>
      </w:r>
      <w:r w:rsidRPr="000C3DD0">
        <w:rPr>
          <w:bCs w:val="0"/>
          <w:iCs/>
          <w:szCs w:val="20"/>
          <w:lang w:eastAsia="en-US"/>
        </w:rPr>
        <w:t>, Miran Vanwonterghem</w:t>
      </w:r>
      <w:r w:rsidR="00B4025A">
        <w:rPr>
          <w:bCs w:val="0"/>
          <w:iCs/>
          <w:szCs w:val="20"/>
          <w:lang w:eastAsia="en-US"/>
        </w:rPr>
        <w:t>6</w:t>
      </w:r>
      <w:r w:rsidRPr="000C3DD0">
        <w:rPr>
          <w:bCs w:val="0"/>
          <w:iCs/>
          <w:szCs w:val="20"/>
          <w:lang w:eastAsia="en-US"/>
        </w:rPr>
        <w:t>, Amy Parry</w:t>
      </w:r>
      <w:r w:rsidR="00B4025A">
        <w:rPr>
          <w:bCs w:val="0"/>
          <w:iCs/>
          <w:szCs w:val="20"/>
          <w:lang w:eastAsia="en-US"/>
        </w:rPr>
        <w:t>7</w:t>
      </w:r>
      <w:r w:rsidRPr="000C3DD0">
        <w:rPr>
          <w:bCs w:val="0"/>
          <w:iCs/>
          <w:szCs w:val="20"/>
          <w:lang w:eastAsia="en-US"/>
        </w:rPr>
        <w:t>, and Todd S. Bridges</w:t>
      </w:r>
      <w:r w:rsidR="00B4025A">
        <w:rPr>
          <w:bCs w:val="0"/>
          <w:iCs/>
          <w:szCs w:val="20"/>
          <w:lang w:eastAsia="en-US"/>
        </w:rPr>
        <w:t>8</w:t>
      </w:r>
    </w:p>
    <w:p w14:paraId="02EA9F3D" w14:textId="68AE1B66" w:rsidR="007F68AE" w:rsidRPr="003077C5" w:rsidRDefault="007F68AE" w:rsidP="009937DE">
      <w:pPr>
        <w:pStyle w:val="Heading1"/>
      </w:pPr>
      <w:r w:rsidRPr="003077C5">
        <w:t>Abstract</w:t>
      </w:r>
    </w:p>
    <w:p w14:paraId="76E2022D" w14:textId="5FF2334E" w:rsidR="00136864" w:rsidRPr="00136864" w:rsidRDefault="00136864" w:rsidP="00136864">
      <w:pPr>
        <w:rPr>
          <w:rFonts w:ascii="Arial" w:hAnsi="Arial" w:cs="Arial"/>
          <w:szCs w:val="24"/>
        </w:rPr>
      </w:pPr>
      <w:r w:rsidRPr="00136864">
        <w:rPr>
          <w:rFonts w:ascii="Arial" w:hAnsi="Arial" w:cs="Arial"/>
          <w:szCs w:val="24"/>
        </w:rPr>
        <w:t>The World Association for Waterborne Transport Infrastructure (PIANC) Environmental Commission Working Group 175 (WG 175) was tasked with developing a practical guide derived from existing methods and approaches for informing decision makers managing environmental risk associated with waterborne transport infrastructure projects.  The risk management methodology build</w:t>
      </w:r>
      <w:r w:rsidR="00132CEC">
        <w:rPr>
          <w:rFonts w:ascii="Arial" w:hAnsi="Arial" w:cs="Arial"/>
          <w:szCs w:val="24"/>
        </w:rPr>
        <w:t>s</w:t>
      </w:r>
      <w:r w:rsidRPr="00136864">
        <w:rPr>
          <w:rFonts w:ascii="Arial" w:hAnsi="Arial" w:cs="Arial"/>
          <w:szCs w:val="24"/>
        </w:rPr>
        <w:t xml:space="preserve"> on existing PIANC and other reports and show decision makers (i.e., project managers and policy makers) how to transition from risk assessment to risk management.  WG 175 is working closely with other WGs related to Working with Nature (</w:t>
      </w:r>
      <w:proofErr w:type="spellStart"/>
      <w:r w:rsidRPr="00136864">
        <w:rPr>
          <w:rFonts w:ascii="Arial" w:hAnsi="Arial" w:cs="Arial"/>
          <w:szCs w:val="24"/>
        </w:rPr>
        <w:t>WwN</w:t>
      </w:r>
      <w:proofErr w:type="spellEnd"/>
      <w:r w:rsidRPr="00136864">
        <w:rPr>
          <w:rFonts w:ascii="Arial" w:hAnsi="Arial" w:cs="Arial"/>
          <w:szCs w:val="24"/>
        </w:rPr>
        <w:t>; WG 176), ecosystem services</w:t>
      </w:r>
      <w:r w:rsidR="00132CEC">
        <w:rPr>
          <w:rFonts w:ascii="Arial" w:hAnsi="Arial" w:cs="Arial"/>
          <w:szCs w:val="24"/>
        </w:rPr>
        <w:t xml:space="preserve"> (WG 195)</w:t>
      </w:r>
      <w:r w:rsidRPr="00136864">
        <w:rPr>
          <w:rFonts w:ascii="Arial" w:hAnsi="Arial" w:cs="Arial"/>
          <w:szCs w:val="24"/>
        </w:rPr>
        <w:t>, and</w:t>
      </w:r>
      <w:r w:rsidRPr="00136864">
        <w:t xml:space="preserve"> </w:t>
      </w:r>
      <w:r w:rsidRPr="00136864">
        <w:rPr>
          <w:rFonts w:ascii="Arial" w:hAnsi="Arial" w:cs="Arial"/>
          <w:szCs w:val="24"/>
        </w:rPr>
        <w:t>climate change adaptation (WG 178) to ensure consistency among the WGs.  This process provide</w:t>
      </w:r>
      <w:r w:rsidR="00132CEC">
        <w:rPr>
          <w:rFonts w:ascii="Arial" w:hAnsi="Arial" w:cs="Arial"/>
          <w:szCs w:val="24"/>
        </w:rPr>
        <w:t>s</w:t>
      </w:r>
      <w:r w:rsidRPr="00136864">
        <w:rPr>
          <w:rFonts w:ascii="Arial" w:hAnsi="Arial" w:cs="Arial"/>
          <w:szCs w:val="24"/>
        </w:rPr>
        <w:t xml:space="preserve"> a practical methodology for managing the likely environmental impacts of project components in the context of natural change in time (short to long term), space (e.g., floods, storms, near field/far field), and other social and recreational activities (e.g., fishing and tourism).  The methodology would ensure that risk management alternatives will have the ability to compensate or counteract adverse environmental impacts caused by the project.  </w:t>
      </w:r>
    </w:p>
    <w:p w14:paraId="23D892BE" w14:textId="27882B21" w:rsidR="00136864" w:rsidRDefault="00136864" w:rsidP="00136864">
      <w:pPr>
        <w:rPr>
          <w:rFonts w:ascii="Arial" w:hAnsi="Arial" w:cs="Arial"/>
          <w:szCs w:val="24"/>
        </w:rPr>
      </w:pPr>
      <w:r w:rsidRPr="00136864">
        <w:rPr>
          <w:rFonts w:ascii="Arial" w:hAnsi="Arial" w:cs="Arial"/>
          <w:szCs w:val="24"/>
        </w:rPr>
        <w:t>The guidance incorporates aspects of international best practice related to managing project risks that consider multiple processes (e.g., physical, chemical, biological, socioeconomic, etc.) operating over broad spatial and temporal scales.  Large uncertainties related to these processes can prevent clear projections about the future performance of associated risk management actions.  The management of risk involves both large economic and environmental costs, and is further complicated by the diverse range of policies, perspectives, risk attitudes and personal values that drive risk management decision making.  The developed risk management guide and supporting methodologies provide the foundation for a decision support system for environmental risk management.</w:t>
      </w:r>
    </w:p>
    <w:p w14:paraId="46825A8A" w14:textId="0AD32EB8" w:rsidR="00136864" w:rsidRDefault="00136864" w:rsidP="00977D5D">
      <w:pPr>
        <w:rPr>
          <w:rFonts w:ascii="Arial" w:hAnsi="Arial" w:cs="Arial"/>
          <w:szCs w:val="24"/>
        </w:rPr>
      </w:pPr>
      <w:r w:rsidRPr="00136864">
        <w:rPr>
          <w:rFonts w:ascii="Arial" w:hAnsi="Arial" w:cs="Arial"/>
          <w:szCs w:val="24"/>
        </w:rPr>
        <w:t xml:space="preserve">The primary objective of the report </w:t>
      </w:r>
      <w:r w:rsidR="00132CEC">
        <w:rPr>
          <w:rFonts w:ascii="Arial" w:hAnsi="Arial" w:cs="Arial"/>
          <w:szCs w:val="24"/>
        </w:rPr>
        <w:t xml:space="preserve">is </w:t>
      </w:r>
      <w:r w:rsidRPr="00136864">
        <w:rPr>
          <w:rFonts w:ascii="Arial" w:hAnsi="Arial" w:cs="Arial"/>
          <w:szCs w:val="24"/>
        </w:rPr>
        <w:t>to provide technical information and develop a methodology for decision makers to manage risk associated with waterborne infrastructure projects by drawing from existing approaches and best practices worldwide.  It build</w:t>
      </w:r>
      <w:r w:rsidR="00132CEC">
        <w:rPr>
          <w:rFonts w:ascii="Arial" w:hAnsi="Arial" w:cs="Arial"/>
          <w:szCs w:val="24"/>
        </w:rPr>
        <w:t>s</w:t>
      </w:r>
      <w:r w:rsidRPr="00136864">
        <w:rPr>
          <w:rFonts w:ascii="Arial" w:hAnsi="Arial" w:cs="Arial"/>
          <w:szCs w:val="24"/>
        </w:rPr>
        <w:t xml:space="preserve"> on the PIANC WG 10 report “Environmental Risk Assessment of Dredging and Disposal Operations” (PIANC 2006) and show decision makers how to transition from risk assessment to risk management.  The report reflect</w:t>
      </w:r>
      <w:r w:rsidR="00132CEC">
        <w:rPr>
          <w:rFonts w:ascii="Arial" w:hAnsi="Arial" w:cs="Arial"/>
          <w:szCs w:val="24"/>
        </w:rPr>
        <w:t>s</w:t>
      </w:r>
      <w:r w:rsidRPr="00136864">
        <w:rPr>
          <w:rFonts w:ascii="Arial" w:hAnsi="Arial" w:cs="Arial"/>
          <w:szCs w:val="24"/>
        </w:rPr>
        <w:t xml:space="preserve"> the close collaboration between ongoing work with other PIANC WGs on Working with Nature (PIANC 2008), and recently formed PIANC WGs on ecosystem services and climate change adaptation to ensure consistency among WG reports.  The developed risk management framework and supporting methodologies will provide the foundation for a decision support system for environmental risk management.</w:t>
      </w:r>
    </w:p>
    <w:p w14:paraId="47C7B553" w14:textId="77777777" w:rsidR="00FE4EC8" w:rsidRPr="00FE4EC8" w:rsidRDefault="00FE4EC8" w:rsidP="00FE4EC8">
      <w:pPr>
        <w:rPr>
          <w:rFonts w:ascii="Arial" w:hAnsi="Arial" w:cs="Arial"/>
        </w:rPr>
      </w:pPr>
      <w:r w:rsidRPr="00FE4EC8">
        <w:rPr>
          <w:rFonts w:ascii="Arial" w:hAnsi="Arial" w:cs="Arial"/>
        </w:rPr>
        <w:t xml:space="preserve">Previous PIANC </w:t>
      </w:r>
      <w:proofErr w:type="spellStart"/>
      <w:r w:rsidRPr="00FE4EC8">
        <w:rPr>
          <w:rFonts w:ascii="Arial" w:hAnsi="Arial" w:cs="Arial"/>
        </w:rPr>
        <w:t>EnviCom</w:t>
      </w:r>
      <w:proofErr w:type="spellEnd"/>
      <w:r w:rsidRPr="00FE4EC8">
        <w:rPr>
          <w:rFonts w:ascii="Arial" w:hAnsi="Arial" w:cs="Arial"/>
        </w:rPr>
        <w:t xml:space="preserve"> Working Groups have developed procedures addressing various aspects of environmental risk assessment for dredging and dredged material disposal, providing a scientific basis for making decisions based on environmental risk assessment data.  However, these reports did not address methodologies for managing environmental risks.  This report has been developed to fill this gap providing a guideline derived from existing methods and approaches for decision-makers managing environmental risk associated with waterborne navigation infrastructure projects, and aims to bring these practical considerations together in a usable, ERM framework.</w:t>
      </w:r>
    </w:p>
    <w:p w14:paraId="538400F3" w14:textId="15580673" w:rsidR="00FE4EC8" w:rsidRPr="00FE4EC8" w:rsidRDefault="00FE4EC8" w:rsidP="00FE4EC8">
      <w:pPr>
        <w:rPr>
          <w:rFonts w:ascii="Arial" w:hAnsi="Arial" w:cs="Arial"/>
        </w:rPr>
      </w:pPr>
      <w:r w:rsidRPr="00FE4EC8">
        <w:rPr>
          <w:rFonts w:ascii="Arial" w:hAnsi="Arial" w:cs="Arial"/>
        </w:rPr>
        <w:t xml:space="preserve">This report presents a practical and structured management process through which actions for reducing environmental risks are identified, evaluated, selected, and implemented. The process includes an approach and methods for comparing and evaluating alternative risk management actions to inform decision-making. The approach is compatible with the </w:t>
      </w:r>
      <w:proofErr w:type="spellStart"/>
      <w:r w:rsidR="005466CD">
        <w:rPr>
          <w:rFonts w:ascii="Arial" w:hAnsi="Arial" w:cs="Arial"/>
        </w:rPr>
        <w:t>WwN</w:t>
      </w:r>
      <w:proofErr w:type="spellEnd"/>
      <w:r w:rsidR="005466CD">
        <w:rPr>
          <w:rFonts w:ascii="Arial" w:hAnsi="Arial" w:cs="Arial"/>
        </w:rPr>
        <w:t xml:space="preserve"> </w:t>
      </w:r>
      <w:r w:rsidRPr="00FE4EC8">
        <w:rPr>
          <w:rFonts w:ascii="Arial" w:hAnsi="Arial" w:cs="Arial"/>
        </w:rPr>
        <w:t>concept taking into account existing methods for managing environmental risks while providing an open, deliberative, and transparent decision-making process. This guideline:</w:t>
      </w:r>
    </w:p>
    <w:p w14:paraId="0A255547" w14:textId="29EC19D4" w:rsidR="00FE4EC8" w:rsidRPr="00FE4EC8" w:rsidRDefault="00FE4EC8" w:rsidP="00FE4EC8">
      <w:pPr>
        <w:pStyle w:val="ListParagraph"/>
        <w:numPr>
          <w:ilvl w:val="0"/>
          <w:numId w:val="7"/>
        </w:numPr>
        <w:rPr>
          <w:rFonts w:ascii="Arial" w:hAnsi="Arial" w:cs="Arial"/>
        </w:rPr>
      </w:pPr>
      <w:r w:rsidRPr="00FE4EC8">
        <w:rPr>
          <w:rFonts w:ascii="Arial" w:hAnsi="Arial" w:cs="Arial"/>
        </w:rPr>
        <w:t xml:space="preserve">defines the concepts of risk, risk assessment, and risk management; </w:t>
      </w:r>
    </w:p>
    <w:p w14:paraId="554546F4" w14:textId="55C8312C" w:rsidR="00FE4EC8" w:rsidRPr="00FE4EC8" w:rsidRDefault="00FE4EC8" w:rsidP="00FE4EC8">
      <w:pPr>
        <w:pStyle w:val="ListParagraph"/>
        <w:numPr>
          <w:ilvl w:val="0"/>
          <w:numId w:val="7"/>
        </w:numPr>
        <w:rPr>
          <w:rFonts w:ascii="Arial" w:hAnsi="Arial" w:cs="Arial"/>
        </w:rPr>
      </w:pPr>
      <w:r w:rsidRPr="00FE4EC8">
        <w:rPr>
          <w:rFonts w:ascii="Arial" w:hAnsi="Arial" w:cs="Arial"/>
        </w:rPr>
        <w:t>presents an integrated approach to risk</w:t>
      </w:r>
      <w:r w:rsidRPr="00FE4EC8">
        <w:rPr>
          <w:rFonts w:ascii="Cambria Math" w:hAnsi="Cambria Math" w:cs="Cambria Math"/>
        </w:rPr>
        <w:t>‐</w:t>
      </w:r>
      <w:r w:rsidRPr="00FE4EC8">
        <w:rPr>
          <w:rFonts w:ascii="Arial" w:hAnsi="Arial" w:cs="Arial"/>
        </w:rPr>
        <w:t xml:space="preserve">based management that is practical and implementable; </w:t>
      </w:r>
    </w:p>
    <w:p w14:paraId="5DBFE764" w14:textId="66304715" w:rsidR="00FE4EC8" w:rsidRPr="00FE4EC8" w:rsidRDefault="00FE4EC8" w:rsidP="00FE4EC8">
      <w:pPr>
        <w:pStyle w:val="ListParagraph"/>
        <w:numPr>
          <w:ilvl w:val="0"/>
          <w:numId w:val="7"/>
        </w:numPr>
        <w:rPr>
          <w:rFonts w:ascii="Arial" w:hAnsi="Arial" w:cs="Arial"/>
        </w:rPr>
      </w:pPr>
      <w:r w:rsidRPr="00FE4EC8">
        <w:rPr>
          <w:rFonts w:ascii="Arial" w:hAnsi="Arial" w:cs="Arial"/>
        </w:rPr>
        <w:lastRenderedPageBreak/>
        <w:t xml:space="preserve">addresses uncertainty associated with short-term event-based related to infrastructure operations, longer term risks (e.g., climate change), residual risk, and resiliency of natural features; </w:t>
      </w:r>
    </w:p>
    <w:p w14:paraId="261CBE9F" w14:textId="091F6AD6" w:rsidR="00FE4EC8" w:rsidRPr="00FE4EC8" w:rsidRDefault="00FE4EC8" w:rsidP="00FE4EC8">
      <w:pPr>
        <w:pStyle w:val="ListParagraph"/>
        <w:numPr>
          <w:ilvl w:val="0"/>
          <w:numId w:val="7"/>
        </w:numPr>
        <w:rPr>
          <w:rFonts w:ascii="Arial" w:hAnsi="Arial" w:cs="Arial"/>
        </w:rPr>
      </w:pPr>
      <w:r w:rsidRPr="00FE4EC8">
        <w:rPr>
          <w:rFonts w:ascii="Arial" w:hAnsi="Arial" w:cs="Arial"/>
        </w:rPr>
        <w:t xml:space="preserve">reviews available methods that support risk-informed decision-making so that the uncertainties associated with managing environmental risk are recognized and addressed; </w:t>
      </w:r>
    </w:p>
    <w:p w14:paraId="37C9A4B1" w14:textId="46DA035E" w:rsidR="00FE4EC8" w:rsidRPr="00FE4EC8" w:rsidRDefault="00FE4EC8" w:rsidP="00FE4EC8">
      <w:pPr>
        <w:pStyle w:val="ListParagraph"/>
        <w:numPr>
          <w:ilvl w:val="0"/>
          <w:numId w:val="7"/>
        </w:numPr>
        <w:rPr>
          <w:rFonts w:ascii="Arial" w:hAnsi="Arial" w:cs="Arial"/>
        </w:rPr>
      </w:pPr>
      <w:r w:rsidRPr="00FE4EC8">
        <w:rPr>
          <w:rFonts w:ascii="Arial" w:hAnsi="Arial" w:cs="Arial"/>
        </w:rPr>
        <w:t xml:space="preserve">presents risk management as a process for achieving efficient and effective risk reduction; </w:t>
      </w:r>
    </w:p>
    <w:p w14:paraId="4DBFE65A" w14:textId="47AAE227" w:rsidR="00FE4EC8" w:rsidRPr="00FE4EC8" w:rsidRDefault="00FE4EC8" w:rsidP="00FE4EC8">
      <w:pPr>
        <w:pStyle w:val="ListParagraph"/>
        <w:numPr>
          <w:ilvl w:val="0"/>
          <w:numId w:val="7"/>
        </w:numPr>
        <w:rPr>
          <w:rFonts w:ascii="Arial" w:hAnsi="Arial" w:cs="Arial"/>
        </w:rPr>
      </w:pPr>
      <w:r w:rsidRPr="00FE4EC8">
        <w:rPr>
          <w:rFonts w:ascii="Arial" w:hAnsi="Arial" w:cs="Arial"/>
        </w:rPr>
        <w:t>Discusses the role of sustainability and life-cycle analysis in the context of risk management, and;</w:t>
      </w:r>
    </w:p>
    <w:p w14:paraId="3A08DC96" w14:textId="6F9FC805" w:rsidR="00136864" w:rsidRPr="00FE4EC8" w:rsidRDefault="00FE4EC8" w:rsidP="00FE4EC8">
      <w:pPr>
        <w:pStyle w:val="ListParagraph"/>
        <w:numPr>
          <w:ilvl w:val="0"/>
          <w:numId w:val="7"/>
        </w:numPr>
        <w:rPr>
          <w:rFonts w:ascii="Arial" w:hAnsi="Arial" w:cs="Arial"/>
        </w:rPr>
      </w:pPr>
      <w:proofErr w:type="gramStart"/>
      <w:r w:rsidRPr="00FE4EC8">
        <w:rPr>
          <w:rFonts w:ascii="Arial" w:hAnsi="Arial" w:cs="Arial"/>
        </w:rPr>
        <w:t>incorporates</w:t>
      </w:r>
      <w:proofErr w:type="gramEnd"/>
      <w:r w:rsidRPr="00FE4EC8">
        <w:rPr>
          <w:rFonts w:ascii="Arial" w:hAnsi="Arial" w:cs="Arial"/>
        </w:rPr>
        <w:t xml:space="preserve"> adaptive management principles and practices.</w:t>
      </w:r>
    </w:p>
    <w:p w14:paraId="7256B826" w14:textId="121ABDBD" w:rsidR="00FE4EC8" w:rsidRPr="00FE4EC8" w:rsidRDefault="00FE4EC8" w:rsidP="00FE4EC8">
      <w:pPr>
        <w:rPr>
          <w:rFonts w:ascii="Arial" w:hAnsi="Arial" w:cs="Arial"/>
        </w:rPr>
      </w:pPr>
      <w:r w:rsidRPr="00FE4EC8">
        <w:rPr>
          <w:rFonts w:ascii="Arial" w:hAnsi="Arial" w:cs="Arial"/>
        </w:rPr>
        <w:t xml:space="preserve">The key components of the framework (Figure </w:t>
      </w:r>
      <w:r>
        <w:rPr>
          <w:rFonts w:ascii="Arial" w:hAnsi="Arial" w:cs="Arial"/>
        </w:rPr>
        <w:t>1</w:t>
      </w:r>
      <w:r w:rsidRPr="00FE4EC8">
        <w:rPr>
          <w:rFonts w:ascii="Arial" w:hAnsi="Arial" w:cs="Arial"/>
        </w:rPr>
        <w:t>)</w:t>
      </w:r>
      <w:r>
        <w:rPr>
          <w:rFonts w:ascii="Arial" w:hAnsi="Arial" w:cs="Arial"/>
        </w:rPr>
        <w:t xml:space="preserve"> </w:t>
      </w:r>
      <w:r w:rsidRPr="00FE4EC8">
        <w:rPr>
          <w:rFonts w:ascii="Arial" w:hAnsi="Arial" w:cs="Arial"/>
        </w:rPr>
        <w:t>are:</w:t>
      </w:r>
    </w:p>
    <w:p w14:paraId="03E377BA" w14:textId="07DDB8CA" w:rsidR="00FE4EC8" w:rsidRPr="00FE4EC8" w:rsidRDefault="00FE4EC8" w:rsidP="00FE4EC8">
      <w:pPr>
        <w:pStyle w:val="ListParagraph"/>
        <w:numPr>
          <w:ilvl w:val="0"/>
          <w:numId w:val="7"/>
        </w:numPr>
        <w:rPr>
          <w:rFonts w:ascii="Arial" w:hAnsi="Arial" w:cs="Arial"/>
        </w:rPr>
      </w:pPr>
      <w:r w:rsidRPr="00FE4EC8">
        <w:rPr>
          <w:rFonts w:ascii="Arial" w:hAnsi="Arial" w:cs="Arial"/>
        </w:rPr>
        <w:t>understanding;</w:t>
      </w:r>
    </w:p>
    <w:p w14:paraId="4874E007" w14:textId="3E4A587B" w:rsidR="00FE4EC8" w:rsidRPr="00FE4EC8" w:rsidRDefault="00FE4EC8" w:rsidP="00FE4EC8">
      <w:pPr>
        <w:pStyle w:val="ListParagraph"/>
        <w:numPr>
          <w:ilvl w:val="0"/>
          <w:numId w:val="7"/>
        </w:numPr>
        <w:rPr>
          <w:rFonts w:ascii="Arial" w:hAnsi="Arial" w:cs="Arial"/>
        </w:rPr>
      </w:pPr>
      <w:r w:rsidRPr="00FE4EC8">
        <w:rPr>
          <w:rFonts w:ascii="Arial" w:hAnsi="Arial" w:cs="Arial"/>
        </w:rPr>
        <w:t>assessing;</w:t>
      </w:r>
    </w:p>
    <w:p w14:paraId="46C354FE" w14:textId="6BEA7E60" w:rsidR="00FE4EC8" w:rsidRPr="00FE4EC8" w:rsidRDefault="00FE4EC8" w:rsidP="00FE4EC8">
      <w:pPr>
        <w:pStyle w:val="ListParagraph"/>
        <w:numPr>
          <w:ilvl w:val="0"/>
          <w:numId w:val="7"/>
        </w:numPr>
        <w:rPr>
          <w:rFonts w:ascii="Arial" w:hAnsi="Arial" w:cs="Arial"/>
        </w:rPr>
      </w:pPr>
      <w:r w:rsidRPr="00FE4EC8">
        <w:rPr>
          <w:rFonts w:ascii="Arial" w:hAnsi="Arial" w:cs="Arial"/>
        </w:rPr>
        <w:t>deciding;</w:t>
      </w:r>
    </w:p>
    <w:p w14:paraId="4EA0760E" w14:textId="715CB06B" w:rsidR="00FE4EC8" w:rsidRPr="00FE4EC8" w:rsidRDefault="00FE4EC8" w:rsidP="00FE4EC8">
      <w:pPr>
        <w:pStyle w:val="ListParagraph"/>
        <w:numPr>
          <w:ilvl w:val="0"/>
          <w:numId w:val="7"/>
        </w:numPr>
        <w:rPr>
          <w:rFonts w:ascii="Arial" w:hAnsi="Arial" w:cs="Arial"/>
        </w:rPr>
      </w:pPr>
      <w:r w:rsidRPr="00FE4EC8">
        <w:rPr>
          <w:rFonts w:ascii="Arial" w:hAnsi="Arial" w:cs="Arial"/>
        </w:rPr>
        <w:t>managing and monitoring; and</w:t>
      </w:r>
    </w:p>
    <w:p w14:paraId="7CDDD27F" w14:textId="080B6AAB" w:rsidR="00FE4EC8" w:rsidRPr="00FE4EC8" w:rsidRDefault="00FE4EC8" w:rsidP="00FE4EC8">
      <w:pPr>
        <w:pStyle w:val="ListParagraph"/>
        <w:numPr>
          <w:ilvl w:val="0"/>
          <w:numId w:val="7"/>
        </w:numPr>
        <w:rPr>
          <w:rFonts w:ascii="Arial" w:hAnsi="Arial" w:cs="Arial"/>
        </w:rPr>
      </w:pPr>
      <w:proofErr w:type="gramStart"/>
      <w:r w:rsidRPr="00FE4EC8">
        <w:rPr>
          <w:rFonts w:ascii="Arial" w:hAnsi="Arial" w:cs="Arial"/>
        </w:rPr>
        <w:t>communication</w:t>
      </w:r>
      <w:proofErr w:type="gramEnd"/>
      <w:r w:rsidRPr="00FE4EC8">
        <w:rPr>
          <w:rFonts w:ascii="Arial" w:hAnsi="Arial" w:cs="Arial"/>
        </w:rPr>
        <w:t>.</w:t>
      </w:r>
    </w:p>
    <w:p w14:paraId="30D63FBC" w14:textId="48C6E135" w:rsidR="00FE4EC8" w:rsidRPr="00FE4EC8" w:rsidRDefault="00FE4EC8" w:rsidP="00FE4EC8">
      <w:pPr>
        <w:rPr>
          <w:rFonts w:ascii="Arial" w:hAnsi="Arial" w:cs="Arial"/>
        </w:rPr>
      </w:pPr>
      <w:r w:rsidRPr="00FE4EC8">
        <w:rPr>
          <w:rFonts w:ascii="Arial" w:hAnsi="Arial" w:cs="Arial"/>
        </w:rPr>
        <w:t xml:space="preserve">The first step in the ERM framework is project formulation, which functions to scope the project, develop project alternatives, demonstrate positive environmental outcomes, and set the stage for early stakeholder engagement. Project feasibility follows to help justify a selected alternative that achieves project goals while providing the best overall benefit at a reasonable cost, and includes the evaluations and assessments supporting the chosen risk management strategy.  Next, the project execution phase encompasses the engineering design, construction, delivery and monitoring of the navigation infrastructure project elements, and will require ongoing communications and stakeholder participation to be successful. </w:t>
      </w:r>
      <w:r>
        <w:rPr>
          <w:rFonts w:ascii="Arial" w:hAnsi="Arial" w:cs="Arial"/>
        </w:rPr>
        <w:t xml:space="preserve"> </w:t>
      </w:r>
      <w:r w:rsidRPr="00FE4EC8">
        <w:rPr>
          <w:rFonts w:ascii="Arial" w:hAnsi="Arial" w:cs="Arial"/>
        </w:rPr>
        <w:t>Once the preferred project alternative is selected, the detailed engineering phase will generate new data, design considerations, and constraints that will affect ERM decisions.</w:t>
      </w:r>
    </w:p>
    <w:p w14:paraId="46CFE368" w14:textId="5F711B1D" w:rsidR="000C3DD0" w:rsidRDefault="00FE4EC8" w:rsidP="00FE4EC8">
      <w:pPr>
        <w:rPr>
          <w:rFonts w:ascii="Arial" w:hAnsi="Arial" w:cs="Arial"/>
        </w:rPr>
      </w:pPr>
      <w:r w:rsidRPr="00FE4EC8">
        <w:rPr>
          <w:rFonts w:ascii="Arial" w:hAnsi="Arial" w:cs="Arial"/>
        </w:rPr>
        <w:t xml:space="preserve">A key to a successful project is early consideration of ERM, leading to more efficient permitting and approval processes, as regulators are afforded a greater appreciation and confidence in project delivery and management, and are less likely to revert to a precautionary approach.  As Figure </w:t>
      </w:r>
      <w:r>
        <w:rPr>
          <w:rFonts w:ascii="Arial" w:hAnsi="Arial" w:cs="Arial"/>
        </w:rPr>
        <w:t>1</w:t>
      </w:r>
      <w:r w:rsidRPr="00FE4EC8">
        <w:rPr>
          <w:rFonts w:ascii="Arial" w:hAnsi="Arial" w:cs="Arial"/>
        </w:rPr>
        <w:t xml:space="preserve"> illustrates, the ERM framework incorporates early consideration of potential environmental risk, well before the finalization of the project business case and detailed design of potential project alternatives.  This differs substantially from a project where ERM is considered late in the project, typically during the formal environmental approvals and permitting stage, when business cases have been finalized, financial assurance criteria have already been established, planning and detailed design have been undertaken, and there are limited opportunities to revise or improve upon project alternatives.  To remain effective, ERM should be a living process where iteration is possible in cases where additional data or information can be included, as necessary to better inform the ERM process.  As indicated in the center of the figure, stakeholder engagement and adaptive management are core tenants of the framework and underpin the transition from environmental risk assessment to environmental risk management.</w:t>
      </w:r>
    </w:p>
    <w:p w14:paraId="2F52911D" w14:textId="7F2E1CF2" w:rsidR="000C3DD0" w:rsidRDefault="00845729" w:rsidP="00FE4EC8">
      <w:pPr>
        <w:jc w:val="center"/>
        <w:rPr>
          <w:rFonts w:ascii="Arial" w:hAnsi="Arial" w:cs="Arial"/>
        </w:rPr>
      </w:pPr>
      <w:r>
        <w:rPr>
          <w:noProof/>
        </w:rPr>
        <w:lastRenderedPageBreak/>
        <w:drawing>
          <wp:inline distT="0" distB="0" distL="0" distR="0" wp14:anchorId="271961F5" wp14:editId="26DF33E0">
            <wp:extent cx="5249687" cy="579695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03" t="15192" r="30011" b="13553"/>
                    <a:stretch/>
                  </pic:blipFill>
                  <pic:spPr bwMode="auto">
                    <a:xfrm>
                      <a:off x="0" y="0"/>
                      <a:ext cx="5263959" cy="5812711"/>
                    </a:xfrm>
                    <a:prstGeom prst="rect">
                      <a:avLst/>
                    </a:prstGeom>
                    <a:ln>
                      <a:noFill/>
                    </a:ln>
                    <a:extLst>
                      <a:ext uri="{53640926-AAD7-44D8-BBD7-CCE9431645EC}">
                        <a14:shadowObscured xmlns:a14="http://schemas.microsoft.com/office/drawing/2010/main"/>
                      </a:ext>
                    </a:extLst>
                  </pic:spPr>
                </pic:pic>
              </a:graphicData>
            </a:graphic>
          </wp:inline>
        </w:drawing>
      </w:r>
    </w:p>
    <w:p w14:paraId="78FA2161" w14:textId="74ED9EC0" w:rsidR="00136864" w:rsidRDefault="007938A6" w:rsidP="007938A6">
      <w:pPr>
        <w:pStyle w:val="Caption"/>
        <w:jc w:val="center"/>
        <w:rPr>
          <w:rFonts w:ascii="Arial" w:hAnsi="Arial" w:cs="Arial"/>
          <w:b/>
          <w:i w:val="0"/>
          <w:color w:val="auto"/>
          <w:sz w:val="20"/>
        </w:rPr>
      </w:pPr>
      <w:r w:rsidRPr="007938A6">
        <w:rPr>
          <w:rFonts w:ascii="Arial" w:hAnsi="Arial" w:cs="Arial"/>
          <w:b/>
          <w:i w:val="0"/>
          <w:color w:val="auto"/>
          <w:sz w:val="20"/>
        </w:rPr>
        <w:t xml:space="preserve">Figure 1.  </w:t>
      </w:r>
      <w:r w:rsidR="00FE4EC8" w:rsidRPr="00FE4EC8">
        <w:rPr>
          <w:rFonts w:ascii="Arial" w:hAnsi="Arial" w:cs="Arial"/>
          <w:b/>
          <w:i w:val="0"/>
          <w:color w:val="auto"/>
          <w:sz w:val="20"/>
        </w:rPr>
        <w:t xml:space="preserve">An Environmental Risk Management </w:t>
      </w:r>
      <w:r w:rsidR="00FE4EC8">
        <w:rPr>
          <w:rFonts w:ascii="Arial" w:hAnsi="Arial" w:cs="Arial"/>
          <w:b/>
          <w:i w:val="0"/>
          <w:color w:val="auto"/>
          <w:sz w:val="20"/>
        </w:rPr>
        <w:t>F</w:t>
      </w:r>
      <w:r w:rsidR="00FE4EC8" w:rsidRPr="00FE4EC8">
        <w:rPr>
          <w:rFonts w:ascii="Arial" w:hAnsi="Arial" w:cs="Arial"/>
          <w:b/>
          <w:i w:val="0"/>
          <w:color w:val="auto"/>
          <w:sz w:val="20"/>
        </w:rPr>
        <w:t>ramework for Navigation Infrastructure Projects.</w:t>
      </w:r>
      <w:bookmarkStart w:id="0" w:name="_GoBack"/>
      <w:bookmarkEnd w:id="0"/>
    </w:p>
    <w:p w14:paraId="49BADE89" w14:textId="7B517A54" w:rsidR="00FE4EC8" w:rsidRDefault="00FE4EC8" w:rsidP="00FE4EC8">
      <w:pPr>
        <w:rPr>
          <w:rFonts w:ascii="Arial" w:hAnsi="Arial" w:cs="Arial"/>
        </w:rPr>
      </w:pPr>
      <w:r w:rsidRPr="00136864">
        <w:rPr>
          <w:rFonts w:ascii="Arial" w:hAnsi="Arial" w:cs="Arial"/>
        </w:rPr>
        <w:t xml:space="preserve">In developing the approach, elements associated with expert knowledge of the system, including an understanding of the ecosystem, project components and their different construction techniques, as well as stakeholder communication, </w:t>
      </w:r>
      <w:r>
        <w:rPr>
          <w:rFonts w:ascii="Arial" w:hAnsi="Arial" w:cs="Arial"/>
        </w:rPr>
        <w:t xml:space="preserve">are </w:t>
      </w:r>
      <w:r w:rsidRPr="00136864">
        <w:rPr>
          <w:rFonts w:ascii="Arial" w:hAnsi="Arial" w:cs="Arial"/>
        </w:rPr>
        <w:t xml:space="preserve">included as a means of developing a practical and adaptable risk management process.  Descriptions of one or more case studies communicating risk management principles and best-practices </w:t>
      </w:r>
      <w:r>
        <w:rPr>
          <w:rFonts w:ascii="Arial" w:hAnsi="Arial" w:cs="Arial"/>
        </w:rPr>
        <w:t xml:space="preserve">are </w:t>
      </w:r>
      <w:r w:rsidRPr="00136864">
        <w:rPr>
          <w:rFonts w:ascii="Arial" w:hAnsi="Arial" w:cs="Arial"/>
        </w:rPr>
        <w:t>also provided to illustrate how the approach can be implemented in practice.</w:t>
      </w:r>
    </w:p>
    <w:p w14:paraId="33E281DE" w14:textId="777E0F25" w:rsidR="001C1807" w:rsidRPr="000C3DD0" w:rsidRDefault="001C1807" w:rsidP="000C3DD0">
      <w:pPr>
        <w:spacing w:after="0" w:line="259" w:lineRule="auto"/>
        <w:rPr>
          <w:rFonts w:ascii="Arial" w:hAnsi="Arial" w:cs="Arial"/>
          <w:szCs w:val="20"/>
        </w:rPr>
      </w:pPr>
    </w:p>
    <w:sectPr w:rsidR="001C1807" w:rsidRPr="000C3DD0" w:rsidSect="00707ABB">
      <w:headerReference w:type="default" r:id="rId9"/>
      <w:headerReference w:type="first" r:id="rId10"/>
      <w:footerReference w:type="first" r:id="rId11"/>
      <w:pgSz w:w="11909" w:h="16834" w:code="9"/>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05F8" w14:textId="77777777" w:rsidR="00E129EF" w:rsidRDefault="00E129EF" w:rsidP="007F68AE">
      <w:r>
        <w:separator/>
      </w:r>
    </w:p>
  </w:endnote>
  <w:endnote w:type="continuationSeparator" w:id="0">
    <w:p w14:paraId="3E4AA576" w14:textId="77777777" w:rsidR="00E129EF" w:rsidRDefault="00E129EF" w:rsidP="007F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4C48" w14:textId="5D45547F" w:rsidR="00707ABB" w:rsidRPr="00707ABB" w:rsidRDefault="00707ABB" w:rsidP="00B4025A">
    <w:pPr>
      <w:autoSpaceDE w:val="0"/>
      <w:autoSpaceDN w:val="0"/>
      <w:adjustRightInd w:val="0"/>
      <w:spacing w:after="0"/>
      <w:rPr>
        <w:rFonts w:ascii="Arial" w:hAnsi="Arial" w:cs="Arial"/>
        <w:sz w:val="18"/>
        <w:szCs w:val="20"/>
        <w:lang w:val="es-US"/>
      </w:rPr>
    </w:pPr>
    <w:r w:rsidRPr="00640765">
      <w:rPr>
        <w:rFonts w:ascii="Arial" w:eastAsia="Calibri" w:hAnsi="Arial" w:cs="Arial"/>
        <w:szCs w:val="20"/>
        <w:vertAlign w:val="superscript"/>
      </w:rPr>
      <w:t>1</w:t>
    </w:r>
    <w:r w:rsidRPr="00640765">
      <w:rPr>
        <w:rFonts w:ascii="Arial" w:eastAsia="Calibri" w:hAnsi="Arial" w:cs="Arial"/>
        <w:szCs w:val="20"/>
      </w:rPr>
      <w:t xml:space="preserve"> </w:t>
    </w:r>
    <w:r w:rsidRPr="009937DE">
      <w:rPr>
        <w:rFonts w:ascii="Arial" w:hAnsi="Arial" w:cs="Arial"/>
        <w:sz w:val="18"/>
        <w:szCs w:val="20"/>
      </w:rPr>
      <w:t>Research Biologist</w:t>
    </w:r>
    <w:r w:rsidR="00B4025A">
      <w:rPr>
        <w:rFonts w:ascii="Arial" w:hAnsi="Arial" w:cs="Arial"/>
        <w:sz w:val="18"/>
        <w:szCs w:val="20"/>
      </w:rPr>
      <w:t>s</w:t>
    </w:r>
    <w:r w:rsidRPr="009937DE">
      <w:rPr>
        <w:rFonts w:ascii="Arial" w:hAnsi="Arial" w:cs="Arial"/>
        <w:sz w:val="18"/>
        <w:szCs w:val="20"/>
      </w:rPr>
      <w:t xml:space="preserve">, US Army Corps of Engineers, Engineer Research and Development Center, 3909 Halls Ferry Rd., Vicksburg, MS 39180, USA, T: 601-634-4578, Email: </w:t>
    </w:r>
    <w:hyperlink r:id="rId1" w:history="1">
      <w:r w:rsidRPr="009937DE">
        <w:rPr>
          <w:rStyle w:val="Hyperlink"/>
          <w:rFonts w:ascii="Arial" w:hAnsi="Arial" w:cs="Arial"/>
          <w:sz w:val="18"/>
          <w:szCs w:val="20"/>
        </w:rPr>
        <w:t>Burton.C.Suedel@usace.army.mil</w:t>
      </w:r>
    </w:hyperlink>
    <w:r w:rsidRPr="009937DE">
      <w:rPr>
        <w:rFonts w:ascii="Arial" w:hAnsi="Arial" w:cs="Arial"/>
        <w:sz w:val="18"/>
        <w:szCs w:val="20"/>
      </w:rPr>
      <w:t>;</w:t>
    </w:r>
    <w:r w:rsidR="00B4025A">
      <w:rPr>
        <w:rFonts w:ascii="Arial" w:hAnsi="Arial" w:cs="Arial"/>
        <w:sz w:val="18"/>
        <w:szCs w:val="20"/>
      </w:rPr>
      <w:t xml:space="preserve"> </w:t>
    </w:r>
    <w:r w:rsidR="00B4025A" w:rsidRPr="009937DE">
      <w:rPr>
        <w:rFonts w:ascii="Arial" w:hAnsi="Arial" w:cs="Arial"/>
        <w:sz w:val="18"/>
        <w:szCs w:val="20"/>
      </w:rPr>
      <w:t>T: 601-634-4</w:t>
    </w:r>
    <w:r w:rsidR="00B4025A">
      <w:rPr>
        <w:rFonts w:ascii="Arial" w:hAnsi="Arial" w:cs="Arial"/>
        <w:sz w:val="18"/>
        <w:szCs w:val="20"/>
      </w:rPr>
      <w:t>199</w:t>
    </w:r>
    <w:r w:rsidR="00B4025A" w:rsidRPr="009937DE">
      <w:rPr>
        <w:rFonts w:ascii="Arial" w:hAnsi="Arial" w:cs="Arial"/>
        <w:sz w:val="18"/>
        <w:szCs w:val="20"/>
      </w:rPr>
      <w:t xml:space="preserve">, Email: </w:t>
    </w:r>
    <w:hyperlink r:id="rId2" w:history="1">
      <w:r w:rsidR="00B4025A" w:rsidRPr="00D35B55">
        <w:rPr>
          <w:rStyle w:val="Hyperlink"/>
          <w:rFonts w:ascii="Arial" w:hAnsi="Arial" w:cs="Arial"/>
          <w:sz w:val="18"/>
          <w:szCs w:val="20"/>
        </w:rPr>
        <w:t>David.W.Moore@usace.army.mil</w:t>
      </w:r>
    </w:hyperlink>
    <w:r w:rsidR="00F77363">
      <w:rPr>
        <w:rFonts w:ascii="Arial" w:hAnsi="Arial" w:cs="Arial"/>
        <w:sz w:val="18"/>
        <w:szCs w:val="20"/>
      </w:rPr>
      <w:t>.</w:t>
    </w:r>
    <w:r w:rsidRPr="009937DE">
      <w:rPr>
        <w:rFonts w:ascii="Arial" w:hAnsi="Arial" w:cs="Arial"/>
        <w:sz w:val="18"/>
        <w:szCs w:val="20"/>
      </w:rPr>
      <w:t xml:space="preserve"> </w:t>
    </w:r>
    <w:r w:rsidRPr="009937DE">
      <w:rPr>
        <w:rFonts w:ascii="Arial" w:eastAsia="Calibri" w:hAnsi="Arial" w:cs="Arial"/>
        <w:sz w:val="18"/>
        <w:vertAlign w:val="superscript"/>
      </w:rPr>
      <w:t>2</w:t>
    </w:r>
    <w:r w:rsidRPr="009937DE">
      <w:rPr>
        <w:rFonts w:ascii="Arial" w:eastAsia="Calibri" w:hAnsi="Arial" w:cs="Arial"/>
        <w:sz w:val="18"/>
      </w:rPr>
      <w:t xml:space="preserve"> </w:t>
    </w:r>
    <w:r w:rsidR="00F77363" w:rsidRPr="00F77363">
      <w:rPr>
        <w:rFonts w:ascii="Arial" w:hAnsi="Arial" w:cs="Arial"/>
        <w:sz w:val="18"/>
      </w:rPr>
      <w:t>Belfast Harbor Master, Port of Belfast, Belfast, Ireland, T: 02 890 55 30 11, Email: k.allen@belfast-harbour.co.uk</w:t>
    </w:r>
    <w:r w:rsidR="00F77363">
      <w:rPr>
        <w:rFonts w:ascii="Arial" w:hAnsi="Arial" w:cs="Arial"/>
        <w:sz w:val="18"/>
      </w:rPr>
      <w:t>.</w:t>
    </w:r>
    <w:r w:rsidR="00B4025A">
      <w:rPr>
        <w:rFonts w:ascii="Arial" w:hAnsi="Arial" w:cs="Arial"/>
        <w:sz w:val="18"/>
      </w:rPr>
      <w:t xml:space="preserve"> </w:t>
    </w:r>
    <w:r w:rsidRPr="009937DE">
      <w:rPr>
        <w:rFonts w:ascii="Arial" w:eastAsia="Calibri" w:hAnsi="Arial" w:cs="Arial"/>
        <w:sz w:val="18"/>
        <w:szCs w:val="20"/>
        <w:vertAlign w:val="superscript"/>
      </w:rPr>
      <w:t>3</w:t>
    </w:r>
    <w:r w:rsidRPr="009937DE">
      <w:rPr>
        <w:rFonts w:ascii="Arial" w:eastAsia="Calibri" w:hAnsi="Arial" w:cs="Arial"/>
        <w:sz w:val="18"/>
        <w:szCs w:val="20"/>
      </w:rPr>
      <w:t xml:space="preserve"> </w:t>
    </w:r>
    <w:r w:rsidR="00F77363" w:rsidRPr="00F77363">
      <w:rPr>
        <w:rFonts w:ascii="Arial" w:hAnsi="Arial" w:cs="Arial"/>
        <w:sz w:val="18"/>
        <w:szCs w:val="20"/>
      </w:rPr>
      <w:t xml:space="preserve">Principal Engineer, Anchor QEA AS, </w:t>
    </w:r>
    <w:proofErr w:type="spellStart"/>
    <w:r w:rsidR="00F77363" w:rsidRPr="00F77363">
      <w:rPr>
        <w:rFonts w:ascii="Arial" w:hAnsi="Arial" w:cs="Arial"/>
        <w:sz w:val="18"/>
        <w:szCs w:val="20"/>
      </w:rPr>
      <w:t>Mosjøen</w:t>
    </w:r>
    <w:proofErr w:type="spellEnd"/>
    <w:r w:rsidR="00F77363" w:rsidRPr="00F77363">
      <w:rPr>
        <w:rFonts w:ascii="Arial" w:hAnsi="Arial" w:cs="Arial"/>
        <w:sz w:val="18"/>
        <w:szCs w:val="20"/>
      </w:rPr>
      <w:t xml:space="preserve">, Norway, T: +47 4569 6629, Email: </w:t>
    </w:r>
    <w:hyperlink r:id="rId3" w:history="1">
      <w:r w:rsidR="00F77363" w:rsidRPr="00D35B55">
        <w:rPr>
          <w:rStyle w:val="Hyperlink"/>
          <w:rFonts w:ascii="Arial" w:hAnsi="Arial" w:cs="Arial"/>
          <w:sz w:val="18"/>
          <w:szCs w:val="20"/>
        </w:rPr>
        <w:t>rgardner@anchorqea.com</w:t>
      </w:r>
    </w:hyperlink>
    <w:r w:rsidR="00F77363" w:rsidRPr="00F77363">
      <w:rPr>
        <w:rFonts w:ascii="Arial" w:hAnsi="Arial" w:cs="Arial"/>
        <w:sz w:val="18"/>
        <w:szCs w:val="20"/>
      </w:rPr>
      <w:t>.</w:t>
    </w:r>
    <w:r w:rsidR="00F77363">
      <w:rPr>
        <w:rFonts w:ascii="Arial" w:hAnsi="Arial" w:cs="Arial"/>
        <w:sz w:val="18"/>
        <w:szCs w:val="20"/>
      </w:rPr>
      <w:t xml:space="preserve"> </w:t>
    </w:r>
    <w:r w:rsidR="00F77363">
      <w:rPr>
        <w:rFonts w:ascii="Arial" w:eastAsia="Calibri" w:hAnsi="Arial" w:cs="Arial"/>
        <w:sz w:val="18"/>
        <w:szCs w:val="20"/>
        <w:vertAlign w:val="superscript"/>
      </w:rPr>
      <w:t>4</w:t>
    </w:r>
    <w:r w:rsidR="00F77363" w:rsidRPr="009937DE">
      <w:rPr>
        <w:rFonts w:ascii="Arial" w:eastAsia="Calibri" w:hAnsi="Arial" w:cs="Arial"/>
        <w:sz w:val="18"/>
        <w:szCs w:val="20"/>
      </w:rPr>
      <w:t xml:space="preserve"> </w:t>
    </w:r>
    <w:r w:rsidR="00F77363" w:rsidRPr="00F77363">
      <w:rPr>
        <w:rFonts w:ascii="Arial" w:hAnsi="Arial" w:cs="Arial"/>
        <w:sz w:val="18"/>
        <w:szCs w:val="20"/>
      </w:rPr>
      <w:t>Senior Manager-Environment, North Queensland Bulk Ports Corporation, Mackay, Australia, T: +61 7 4969 0734, Email: kkane@nqbp.com.au.</w:t>
    </w:r>
    <w:r w:rsidR="00F77363">
      <w:rPr>
        <w:rFonts w:ascii="Arial" w:hAnsi="Arial" w:cs="Arial"/>
        <w:sz w:val="18"/>
        <w:szCs w:val="20"/>
      </w:rPr>
      <w:t xml:space="preserve"> </w:t>
    </w:r>
    <w:r w:rsidR="00F77363">
      <w:rPr>
        <w:rFonts w:ascii="Arial" w:eastAsia="Calibri" w:hAnsi="Arial" w:cs="Arial"/>
        <w:sz w:val="18"/>
        <w:szCs w:val="20"/>
        <w:vertAlign w:val="superscript"/>
      </w:rPr>
      <w:t>5</w:t>
    </w:r>
    <w:r w:rsidR="00F77363" w:rsidRPr="009937DE">
      <w:rPr>
        <w:rFonts w:ascii="Arial" w:eastAsia="Calibri" w:hAnsi="Arial" w:cs="Arial"/>
        <w:sz w:val="18"/>
        <w:szCs w:val="20"/>
      </w:rPr>
      <w:t xml:space="preserve"> </w:t>
    </w:r>
    <w:r w:rsidR="00F77363" w:rsidRPr="00F77363">
      <w:rPr>
        <w:rFonts w:ascii="Arial" w:hAnsi="Arial" w:cs="Arial"/>
        <w:sz w:val="18"/>
        <w:szCs w:val="20"/>
      </w:rPr>
      <w:t>Engineer, Lally Consulting, LLC, Seattle, WA, USA, T: 206-325-0274, Email: john.lally@lallyconsulting.com.</w:t>
    </w:r>
    <w:r w:rsidR="00F77363">
      <w:rPr>
        <w:rFonts w:ascii="Arial" w:hAnsi="Arial" w:cs="Arial"/>
        <w:sz w:val="18"/>
        <w:szCs w:val="20"/>
      </w:rPr>
      <w:t xml:space="preserve"> </w:t>
    </w:r>
    <w:r w:rsidR="00F77363">
      <w:rPr>
        <w:rFonts w:ascii="Arial" w:eastAsia="Calibri" w:hAnsi="Arial" w:cs="Arial"/>
        <w:sz w:val="18"/>
        <w:szCs w:val="20"/>
        <w:vertAlign w:val="superscript"/>
      </w:rPr>
      <w:t>6</w:t>
    </w:r>
    <w:r w:rsidR="00F77363" w:rsidRPr="009937DE">
      <w:rPr>
        <w:rFonts w:ascii="Arial" w:eastAsia="Calibri" w:hAnsi="Arial" w:cs="Arial"/>
        <w:sz w:val="18"/>
        <w:szCs w:val="20"/>
      </w:rPr>
      <w:t xml:space="preserve"> </w:t>
    </w:r>
    <w:r w:rsidR="00F77363" w:rsidRPr="00F77363">
      <w:rPr>
        <w:rFonts w:ascii="Arial" w:hAnsi="Arial" w:cs="Arial"/>
        <w:sz w:val="18"/>
        <w:szCs w:val="20"/>
      </w:rPr>
      <w:t>Project Engineer, Agency for Maritime and Coastal Services, Oostende, Belgium, T: +32 (0)59 554 225, Email: miran.</w:t>
    </w:r>
    <w:r w:rsidR="00F77363">
      <w:rPr>
        <w:rFonts w:ascii="Arial" w:hAnsi="Arial" w:cs="Arial"/>
        <w:sz w:val="18"/>
        <w:szCs w:val="20"/>
      </w:rPr>
      <w:t>vanwonterghem@mow.vlaanderen.be</w:t>
    </w:r>
    <w:r w:rsidR="00F77363" w:rsidRPr="00F77363">
      <w:rPr>
        <w:rFonts w:ascii="Arial" w:hAnsi="Arial" w:cs="Arial"/>
        <w:sz w:val="18"/>
        <w:szCs w:val="20"/>
      </w:rPr>
      <w:t>.</w:t>
    </w:r>
    <w:r w:rsidR="00F77363">
      <w:rPr>
        <w:rFonts w:ascii="Arial" w:hAnsi="Arial" w:cs="Arial"/>
        <w:sz w:val="18"/>
        <w:szCs w:val="20"/>
      </w:rPr>
      <w:t xml:space="preserve"> </w:t>
    </w:r>
    <w:r w:rsidR="00F77363">
      <w:rPr>
        <w:rFonts w:ascii="Arial" w:eastAsia="Calibri" w:hAnsi="Arial" w:cs="Arial"/>
        <w:sz w:val="18"/>
        <w:szCs w:val="20"/>
        <w:vertAlign w:val="superscript"/>
      </w:rPr>
      <w:t>7</w:t>
    </w:r>
    <w:r w:rsidR="00F77363" w:rsidRPr="009937DE">
      <w:rPr>
        <w:rFonts w:ascii="Arial" w:eastAsia="Calibri" w:hAnsi="Arial" w:cs="Arial"/>
        <w:sz w:val="18"/>
        <w:szCs w:val="20"/>
      </w:rPr>
      <w:t xml:space="preserve"> </w:t>
    </w:r>
    <w:r w:rsidR="00F77363" w:rsidRPr="00F77363">
      <w:rPr>
        <w:rFonts w:ascii="Arial" w:hAnsi="Arial" w:cs="Arial"/>
        <w:sz w:val="18"/>
        <w:szCs w:val="20"/>
      </w:rPr>
      <w:t>Marine Scientist, Atkins, Glasgow, UK, T: +44 (0)141 220 2102, Email: amy.parry@atkinsglobal.com.</w:t>
    </w:r>
    <w:r w:rsidR="00B4025A" w:rsidRPr="00B4025A">
      <w:rPr>
        <w:rFonts w:ascii="Arial" w:eastAsia="Calibri" w:hAnsi="Arial" w:cs="Arial"/>
        <w:szCs w:val="20"/>
        <w:vertAlign w:val="superscript"/>
      </w:rPr>
      <w:t xml:space="preserve"> </w:t>
    </w:r>
    <w:r w:rsidR="00B4025A">
      <w:rPr>
        <w:rFonts w:ascii="Arial" w:eastAsia="Calibri" w:hAnsi="Arial" w:cs="Arial"/>
        <w:szCs w:val="20"/>
        <w:vertAlign w:val="superscript"/>
      </w:rPr>
      <w:t>8</w:t>
    </w:r>
    <w:r w:rsidR="00B4025A" w:rsidRPr="00640765">
      <w:rPr>
        <w:rFonts w:ascii="Arial" w:eastAsia="Calibri" w:hAnsi="Arial" w:cs="Arial"/>
        <w:szCs w:val="20"/>
      </w:rPr>
      <w:t xml:space="preserve"> </w:t>
    </w:r>
    <w:r w:rsidR="00B4025A">
      <w:rPr>
        <w:rFonts w:ascii="Arial" w:eastAsia="Calibri" w:hAnsi="Arial" w:cs="Arial"/>
        <w:szCs w:val="20"/>
      </w:rPr>
      <w:t xml:space="preserve">Senior </w:t>
    </w:r>
    <w:r w:rsidR="00B4025A" w:rsidRPr="009937DE">
      <w:rPr>
        <w:rFonts w:ascii="Arial" w:hAnsi="Arial" w:cs="Arial"/>
        <w:sz w:val="18"/>
        <w:szCs w:val="20"/>
      </w:rPr>
      <w:t xml:space="preserve">Research </w:t>
    </w:r>
    <w:r w:rsidR="00B4025A">
      <w:rPr>
        <w:rFonts w:ascii="Arial" w:hAnsi="Arial" w:cs="Arial"/>
        <w:sz w:val="18"/>
        <w:szCs w:val="20"/>
      </w:rPr>
      <w:t>Scientist</w:t>
    </w:r>
    <w:r w:rsidR="00B4025A" w:rsidRPr="009937DE">
      <w:rPr>
        <w:rFonts w:ascii="Arial" w:hAnsi="Arial" w:cs="Arial"/>
        <w:sz w:val="18"/>
        <w:szCs w:val="20"/>
      </w:rPr>
      <w:t>, US Army Corps of Engineers, Engineer Research and Development Center, 3909 Halls Ferry Rd., Vicksburg, MS 39180, USA, T: 601-634-</w:t>
    </w:r>
    <w:r w:rsidR="00B4025A">
      <w:rPr>
        <w:rFonts w:ascii="Arial" w:hAnsi="Arial" w:cs="Arial"/>
        <w:sz w:val="18"/>
        <w:szCs w:val="20"/>
      </w:rPr>
      <w:t>3626</w:t>
    </w:r>
    <w:r w:rsidR="00B4025A" w:rsidRPr="009937DE">
      <w:rPr>
        <w:rFonts w:ascii="Arial" w:hAnsi="Arial" w:cs="Arial"/>
        <w:sz w:val="18"/>
        <w:szCs w:val="20"/>
      </w:rPr>
      <w:t xml:space="preserve">, Email: </w:t>
    </w:r>
    <w:hyperlink r:id="rId4" w:history="1">
      <w:r w:rsidR="00B4025A" w:rsidRPr="00D35B55">
        <w:rPr>
          <w:rStyle w:val="Hyperlink"/>
          <w:rFonts w:ascii="Arial" w:hAnsi="Arial" w:cs="Arial"/>
          <w:sz w:val="18"/>
          <w:szCs w:val="20"/>
        </w:rPr>
        <w:t>Todd.S.Bridges@usace.army.mil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A90A3" w14:textId="77777777" w:rsidR="00E129EF" w:rsidRDefault="00E129EF" w:rsidP="007F68AE">
      <w:r>
        <w:separator/>
      </w:r>
    </w:p>
  </w:footnote>
  <w:footnote w:type="continuationSeparator" w:id="0">
    <w:p w14:paraId="56E26EA0" w14:textId="77777777" w:rsidR="00E129EF" w:rsidRDefault="00E129EF" w:rsidP="007F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F62FB" w14:textId="35DBE7EB" w:rsidR="00707ABB" w:rsidRPr="00707ABB" w:rsidRDefault="00707ABB" w:rsidP="00707ABB">
    <w:pPr>
      <w:pStyle w:val="Header"/>
      <w:tabs>
        <w:tab w:val="left" w:pos="5955"/>
      </w:tabs>
      <w:jc w:val="center"/>
      <w:rPr>
        <w:rFonts w:ascii="Arial" w:hAnsi="Arial" w:cs="Arial"/>
        <w:b/>
        <w:sz w:val="18"/>
        <w:szCs w:val="18"/>
      </w:rPr>
    </w:pPr>
    <w:r w:rsidRPr="003A571A">
      <w:rPr>
        <w:rFonts w:ascii="Arial" w:hAnsi="Arial" w:cs="Arial"/>
        <w:b/>
        <w:sz w:val="18"/>
        <w:szCs w:val="18"/>
      </w:rPr>
      <w:t>PIANC-World Congress Panama City, Panama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EFA14" w14:textId="4623BB8C" w:rsidR="009937DE" w:rsidRPr="009937DE" w:rsidRDefault="009937DE" w:rsidP="009937DE">
    <w:pPr>
      <w:pStyle w:val="Header"/>
      <w:tabs>
        <w:tab w:val="left" w:pos="5955"/>
      </w:tabs>
      <w:jc w:val="center"/>
      <w:rPr>
        <w:rFonts w:ascii="Arial" w:hAnsi="Arial" w:cs="Arial"/>
        <w:b/>
        <w:sz w:val="18"/>
        <w:szCs w:val="18"/>
      </w:rPr>
    </w:pPr>
    <w:r w:rsidRPr="003A571A">
      <w:rPr>
        <w:rFonts w:ascii="Arial" w:hAnsi="Arial" w:cs="Arial"/>
        <w:b/>
        <w:sz w:val="18"/>
        <w:szCs w:val="18"/>
      </w:rPr>
      <w:t>PIANC-World Congress Panama City, Panama 2018</w:t>
    </w:r>
  </w:p>
  <w:p w14:paraId="2438CB6B" w14:textId="77777777" w:rsidR="009937DE" w:rsidRDefault="009937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D1EA4"/>
    <w:multiLevelType w:val="hybridMultilevel"/>
    <w:tmpl w:val="AA620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548ED"/>
    <w:multiLevelType w:val="hybridMultilevel"/>
    <w:tmpl w:val="DC403146"/>
    <w:lvl w:ilvl="0" w:tplc="7870D37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05377"/>
    <w:multiLevelType w:val="hybridMultilevel"/>
    <w:tmpl w:val="6C126686"/>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39D3041D"/>
    <w:multiLevelType w:val="hybridMultilevel"/>
    <w:tmpl w:val="04B60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B13E3A"/>
    <w:multiLevelType w:val="hybridMultilevel"/>
    <w:tmpl w:val="6C4E5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173203"/>
    <w:multiLevelType w:val="hybridMultilevel"/>
    <w:tmpl w:val="9B2C73F6"/>
    <w:lvl w:ilvl="0" w:tplc="0C6ABC2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A678D8"/>
    <w:multiLevelType w:val="hybridMultilevel"/>
    <w:tmpl w:val="8FC63D24"/>
    <w:lvl w:ilvl="0" w:tplc="0C6ABC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71157"/>
    <w:multiLevelType w:val="hybridMultilevel"/>
    <w:tmpl w:val="F06850E2"/>
    <w:lvl w:ilvl="0" w:tplc="28B041DA">
      <w:start w:val="1"/>
      <w:numFmt w:val="decimal"/>
      <w:pStyle w:val="Heading3"/>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0"/>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61"/>
    <w:rsid w:val="0000152F"/>
    <w:rsid w:val="0000602F"/>
    <w:rsid w:val="0000639F"/>
    <w:rsid w:val="000065BC"/>
    <w:rsid w:val="00006852"/>
    <w:rsid w:val="0001019C"/>
    <w:rsid w:val="00032DD3"/>
    <w:rsid w:val="00037A06"/>
    <w:rsid w:val="00037DA6"/>
    <w:rsid w:val="00043063"/>
    <w:rsid w:val="000445FA"/>
    <w:rsid w:val="00047979"/>
    <w:rsid w:val="0005537B"/>
    <w:rsid w:val="00062029"/>
    <w:rsid w:val="00064880"/>
    <w:rsid w:val="00065F6C"/>
    <w:rsid w:val="000863E9"/>
    <w:rsid w:val="00094D66"/>
    <w:rsid w:val="00094E74"/>
    <w:rsid w:val="000A25F0"/>
    <w:rsid w:val="000B2501"/>
    <w:rsid w:val="000B6DF8"/>
    <w:rsid w:val="000C29F8"/>
    <w:rsid w:val="000C2C2D"/>
    <w:rsid w:val="000C3DD0"/>
    <w:rsid w:val="000C5F75"/>
    <w:rsid w:val="000C6A07"/>
    <w:rsid w:val="000D2820"/>
    <w:rsid w:val="000F5EE5"/>
    <w:rsid w:val="0011496C"/>
    <w:rsid w:val="0011638B"/>
    <w:rsid w:val="00123FCF"/>
    <w:rsid w:val="00126269"/>
    <w:rsid w:val="00132CEC"/>
    <w:rsid w:val="00136864"/>
    <w:rsid w:val="001460CB"/>
    <w:rsid w:val="00152B89"/>
    <w:rsid w:val="0015738F"/>
    <w:rsid w:val="00160E7F"/>
    <w:rsid w:val="00163F49"/>
    <w:rsid w:val="00174AC0"/>
    <w:rsid w:val="00184782"/>
    <w:rsid w:val="001872CF"/>
    <w:rsid w:val="00190AF5"/>
    <w:rsid w:val="00195BBE"/>
    <w:rsid w:val="001A1CDE"/>
    <w:rsid w:val="001A26EF"/>
    <w:rsid w:val="001A4A35"/>
    <w:rsid w:val="001A51FD"/>
    <w:rsid w:val="001A5B59"/>
    <w:rsid w:val="001A7D66"/>
    <w:rsid w:val="001B12A2"/>
    <w:rsid w:val="001C1807"/>
    <w:rsid w:val="001C281D"/>
    <w:rsid w:val="001C593E"/>
    <w:rsid w:val="001D281F"/>
    <w:rsid w:val="001D2B17"/>
    <w:rsid w:val="001D5538"/>
    <w:rsid w:val="001E3A15"/>
    <w:rsid w:val="001E5B9B"/>
    <w:rsid w:val="001E608E"/>
    <w:rsid w:val="001F6648"/>
    <w:rsid w:val="00200EA0"/>
    <w:rsid w:val="00201115"/>
    <w:rsid w:val="00203357"/>
    <w:rsid w:val="002103AF"/>
    <w:rsid w:val="0021209B"/>
    <w:rsid w:val="00213C7D"/>
    <w:rsid w:val="00216F17"/>
    <w:rsid w:val="00220B0D"/>
    <w:rsid w:val="00223560"/>
    <w:rsid w:val="00223D9B"/>
    <w:rsid w:val="0022556F"/>
    <w:rsid w:val="002328E6"/>
    <w:rsid w:val="00241D8D"/>
    <w:rsid w:val="00246E6C"/>
    <w:rsid w:val="002544E8"/>
    <w:rsid w:val="0025537F"/>
    <w:rsid w:val="00260D43"/>
    <w:rsid w:val="002627DB"/>
    <w:rsid w:val="00267E5F"/>
    <w:rsid w:val="00282512"/>
    <w:rsid w:val="002940EA"/>
    <w:rsid w:val="0029717A"/>
    <w:rsid w:val="002975A9"/>
    <w:rsid w:val="002A60B3"/>
    <w:rsid w:val="002B222F"/>
    <w:rsid w:val="002B289C"/>
    <w:rsid w:val="002B3F41"/>
    <w:rsid w:val="002C2E08"/>
    <w:rsid w:val="002C5FAB"/>
    <w:rsid w:val="002E5B4C"/>
    <w:rsid w:val="002F2F35"/>
    <w:rsid w:val="0030188B"/>
    <w:rsid w:val="003043B9"/>
    <w:rsid w:val="003077C5"/>
    <w:rsid w:val="00316871"/>
    <w:rsid w:val="003333A7"/>
    <w:rsid w:val="00341327"/>
    <w:rsid w:val="00341FAD"/>
    <w:rsid w:val="00355301"/>
    <w:rsid w:val="00363FE1"/>
    <w:rsid w:val="0036518D"/>
    <w:rsid w:val="0036624D"/>
    <w:rsid w:val="00367A4C"/>
    <w:rsid w:val="003822D2"/>
    <w:rsid w:val="003846F6"/>
    <w:rsid w:val="003851F4"/>
    <w:rsid w:val="00387BA3"/>
    <w:rsid w:val="0039057B"/>
    <w:rsid w:val="00393C1B"/>
    <w:rsid w:val="00394BF8"/>
    <w:rsid w:val="00397BA2"/>
    <w:rsid w:val="003A3E2C"/>
    <w:rsid w:val="003A5ED3"/>
    <w:rsid w:val="003B09E3"/>
    <w:rsid w:val="003C03BB"/>
    <w:rsid w:val="003C0E27"/>
    <w:rsid w:val="003C3751"/>
    <w:rsid w:val="003C4769"/>
    <w:rsid w:val="003C5B59"/>
    <w:rsid w:val="003C7C41"/>
    <w:rsid w:val="003E0CC0"/>
    <w:rsid w:val="003E1BBD"/>
    <w:rsid w:val="003E5A91"/>
    <w:rsid w:val="00406D06"/>
    <w:rsid w:val="0042414E"/>
    <w:rsid w:val="00443F8F"/>
    <w:rsid w:val="00445660"/>
    <w:rsid w:val="004540BB"/>
    <w:rsid w:val="004573B1"/>
    <w:rsid w:val="00460FB2"/>
    <w:rsid w:val="00482C87"/>
    <w:rsid w:val="0048455D"/>
    <w:rsid w:val="004901BE"/>
    <w:rsid w:val="00491C79"/>
    <w:rsid w:val="00497376"/>
    <w:rsid w:val="004A0116"/>
    <w:rsid w:val="004A18BF"/>
    <w:rsid w:val="004B0067"/>
    <w:rsid w:val="004C147C"/>
    <w:rsid w:val="004C4B6A"/>
    <w:rsid w:val="004D3256"/>
    <w:rsid w:val="004D63E9"/>
    <w:rsid w:val="004E648E"/>
    <w:rsid w:val="004F6109"/>
    <w:rsid w:val="004F669C"/>
    <w:rsid w:val="00502D1A"/>
    <w:rsid w:val="00504916"/>
    <w:rsid w:val="00522977"/>
    <w:rsid w:val="00523ED4"/>
    <w:rsid w:val="005466CD"/>
    <w:rsid w:val="00555661"/>
    <w:rsid w:val="00556827"/>
    <w:rsid w:val="00562677"/>
    <w:rsid w:val="005639DA"/>
    <w:rsid w:val="00564D10"/>
    <w:rsid w:val="005650C7"/>
    <w:rsid w:val="00567A3F"/>
    <w:rsid w:val="005802DD"/>
    <w:rsid w:val="00581CE3"/>
    <w:rsid w:val="00587167"/>
    <w:rsid w:val="00587BCB"/>
    <w:rsid w:val="00592E1D"/>
    <w:rsid w:val="00595951"/>
    <w:rsid w:val="005A0872"/>
    <w:rsid w:val="005A4458"/>
    <w:rsid w:val="005B1212"/>
    <w:rsid w:val="005B506A"/>
    <w:rsid w:val="005C5FB7"/>
    <w:rsid w:val="005D5C85"/>
    <w:rsid w:val="005E02D9"/>
    <w:rsid w:val="005E5306"/>
    <w:rsid w:val="005F0FFA"/>
    <w:rsid w:val="006009AE"/>
    <w:rsid w:val="006023B2"/>
    <w:rsid w:val="006101DC"/>
    <w:rsid w:val="00621399"/>
    <w:rsid w:val="00624D35"/>
    <w:rsid w:val="00632113"/>
    <w:rsid w:val="00645276"/>
    <w:rsid w:val="00652ACB"/>
    <w:rsid w:val="00655BB8"/>
    <w:rsid w:val="00657F44"/>
    <w:rsid w:val="0066110D"/>
    <w:rsid w:val="00674486"/>
    <w:rsid w:val="00676679"/>
    <w:rsid w:val="006830EF"/>
    <w:rsid w:val="006835F9"/>
    <w:rsid w:val="0068566F"/>
    <w:rsid w:val="00690E71"/>
    <w:rsid w:val="006915DA"/>
    <w:rsid w:val="006935C3"/>
    <w:rsid w:val="006A169E"/>
    <w:rsid w:val="006A45F4"/>
    <w:rsid w:val="006A47F2"/>
    <w:rsid w:val="006A4B89"/>
    <w:rsid w:val="006B0FA3"/>
    <w:rsid w:val="006B5DE0"/>
    <w:rsid w:val="006C3236"/>
    <w:rsid w:val="006C5910"/>
    <w:rsid w:val="006D5DE2"/>
    <w:rsid w:val="006D70C7"/>
    <w:rsid w:val="006E0E41"/>
    <w:rsid w:val="006E3E30"/>
    <w:rsid w:val="006F3D8E"/>
    <w:rsid w:val="006F4370"/>
    <w:rsid w:val="006F6D07"/>
    <w:rsid w:val="00702861"/>
    <w:rsid w:val="00707ABB"/>
    <w:rsid w:val="007162C9"/>
    <w:rsid w:val="007402FA"/>
    <w:rsid w:val="00741A6F"/>
    <w:rsid w:val="007475E1"/>
    <w:rsid w:val="00753F2F"/>
    <w:rsid w:val="007552BC"/>
    <w:rsid w:val="00755C21"/>
    <w:rsid w:val="007611A9"/>
    <w:rsid w:val="007637A9"/>
    <w:rsid w:val="0076468C"/>
    <w:rsid w:val="00776CC0"/>
    <w:rsid w:val="00781125"/>
    <w:rsid w:val="007938A6"/>
    <w:rsid w:val="007946C7"/>
    <w:rsid w:val="007A59C7"/>
    <w:rsid w:val="007C173E"/>
    <w:rsid w:val="007D36D7"/>
    <w:rsid w:val="007E2406"/>
    <w:rsid w:val="007E2B9B"/>
    <w:rsid w:val="007E531A"/>
    <w:rsid w:val="007F2FED"/>
    <w:rsid w:val="007F68AE"/>
    <w:rsid w:val="007F7829"/>
    <w:rsid w:val="00801C4F"/>
    <w:rsid w:val="00803444"/>
    <w:rsid w:val="00804573"/>
    <w:rsid w:val="008135EB"/>
    <w:rsid w:val="00814059"/>
    <w:rsid w:val="0082245F"/>
    <w:rsid w:val="008252E9"/>
    <w:rsid w:val="00827249"/>
    <w:rsid w:val="00830389"/>
    <w:rsid w:val="00832114"/>
    <w:rsid w:val="00845729"/>
    <w:rsid w:val="008534DC"/>
    <w:rsid w:val="0085393A"/>
    <w:rsid w:val="00853C94"/>
    <w:rsid w:val="008630B0"/>
    <w:rsid w:val="008633CB"/>
    <w:rsid w:val="00863A98"/>
    <w:rsid w:val="0087102B"/>
    <w:rsid w:val="008745BE"/>
    <w:rsid w:val="00876579"/>
    <w:rsid w:val="00876E10"/>
    <w:rsid w:val="008779FF"/>
    <w:rsid w:val="00886516"/>
    <w:rsid w:val="00887328"/>
    <w:rsid w:val="0089295E"/>
    <w:rsid w:val="00895597"/>
    <w:rsid w:val="008A24B0"/>
    <w:rsid w:val="008A37E4"/>
    <w:rsid w:val="008A5EEB"/>
    <w:rsid w:val="008C4CFB"/>
    <w:rsid w:val="008D617E"/>
    <w:rsid w:val="008D73FC"/>
    <w:rsid w:val="008E01CA"/>
    <w:rsid w:val="008E315C"/>
    <w:rsid w:val="008E5E9A"/>
    <w:rsid w:val="008E7087"/>
    <w:rsid w:val="00904B3C"/>
    <w:rsid w:val="00904F5F"/>
    <w:rsid w:val="00910294"/>
    <w:rsid w:val="0091400E"/>
    <w:rsid w:val="009152AA"/>
    <w:rsid w:val="00915AA3"/>
    <w:rsid w:val="00915F55"/>
    <w:rsid w:val="0092151C"/>
    <w:rsid w:val="00951932"/>
    <w:rsid w:val="00954349"/>
    <w:rsid w:val="009601F5"/>
    <w:rsid w:val="00961435"/>
    <w:rsid w:val="00972C0B"/>
    <w:rsid w:val="00977D5D"/>
    <w:rsid w:val="00984C79"/>
    <w:rsid w:val="00986778"/>
    <w:rsid w:val="009875D6"/>
    <w:rsid w:val="0099317F"/>
    <w:rsid w:val="009937DE"/>
    <w:rsid w:val="00996576"/>
    <w:rsid w:val="009A4CC6"/>
    <w:rsid w:val="009B2652"/>
    <w:rsid w:val="009B3A93"/>
    <w:rsid w:val="009B6FC3"/>
    <w:rsid w:val="009C454E"/>
    <w:rsid w:val="009C5951"/>
    <w:rsid w:val="009D34FD"/>
    <w:rsid w:val="009D4C7B"/>
    <w:rsid w:val="009E56B7"/>
    <w:rsid w:val="009E7062"/>
    <w:rsid w:val="009E71CF"/>
    <w:rsid w:val="00A007C1"/>
    <w:rsid w:val="00A017B0"/>
    <w:rsid w:val="00A040DC"/>
    <w:rsid w:val="00A04D8E"/>
    <w:rsid w:val="00A1556D"/>
    <w:rsid w:val="00A2303D"/>
    <w:rsid w:val="00A24C03"/>
    <w:rsid w:val="00A24CF2"/>
    <w:rsid w:val="00A458BB"/>
    <w:rsid w:val="00A46147"/>
    <w:rsid w:val="00A47DB0"/>
    <w:rsid w:val="00A54DF4"/>
    <w:rsid w:val="00A5666C"/>
    <w:rsid w:val="00A60346"/>
    <w:rsid w:val="00A61BBD"/>
    <w:rsid w:val="00A64159"/>
    <w:rsid w:val="00A705DA"/>
    <w:rsid w:val="00A74AC0"/>
    <w:rsid w:val="00AA71B9"/>
    <w:rsid w:val="00AB0CC6"/>
    <w:rsid w:val="00AC0720"/>
    <w:rsid w:val="00AC325C"/>
    <w:rsid w:val="00AC371B"/>
    <w:rsid w:val="00AC6D9D"/>
    <w:rsid w:val="00AD5276"/>
    <w:rsid w:val="00AD6345"/>
    <w:rsid w:val="00AE6C94"/>
    <w:rsid w:val="00AF0D63"/>
    <w:rsid w:val="00AF122E"/>
    <w:rsid w:val="00AF3141"/>
    <w:rsid w:val="00AF4367"/>
    <w:rsid w:val="00B11A06"/>
    <w:rsid w:val="00B16ABA"/>
    <w:rsid w:val="00B312E4"/>
    <w:rsid w:val="00B4025A"/>
    <w:rsid w:val="00B42D8F"/>
    <w:rsid w:val="00B45C27"/>
    <w:rsid w:val="00B51DED"/>
    <w:rsid w:val="00B54561"/>
    <w:rsid w:val="00B567B6"/>
    <w:rsid w:val="00B61873"/>
    <w:rsid w:val="00B6204E"/>
    <w:rsid w:val="00B64C78"/>
    <w:rsid w:val="00B75711"/>
    <w:rsid w:val="00B76EA6"/>
    <w:rsid w:val="00B92019"/>
    <w:rsid w:val="00B94062"/>
    <w:rsid w:val="00BA5EFC"/>
    <w:rsid w:val="00BB2581"/>
    <w:rsid w:val="00BB2C14"/>
    <w:rsid w:val="00BC1745"/>
    <w:rsid w:val="00BC3E9B"/>
    <w:rsid w:val="00BD1DDA"/>
    <w:rsid w:val="00BE375F"/>
    <w:rsid w:val="00C0143F"/>
    <w:rsid w:val="00C101E4"/>
    <w:rsid w:val="00C12267"/>
    <w:rsid w:val="00C24B53"/>
    <w:rsid w:val="00C2522A"/>
    <w:rsid w:val="00C312BA"/>
    <w:rsid w:val="00C31CBC"/>
    <w:rsid w:val="00C432C5"/>
    <w:rsid w:val="00C439B7"/>
    <w:rsid w:val="00C5063A"/>
    <w:rsid w:val="00C5572E"/>
    <w:rsid w:val="00C62B02"/>
    <w:rsid w:val="00C64798"/>
    <w:rsid w:val="00C764EA"/>
    <w:rsid w:val="00C814BC"/>
    <w:rsid w:val="00C94956"/>
    <w:rsid w:val="00C96402"/>
    <w:rsid w:val="00CA5044"/>
    <w:rsid w:val="00CC014D"/>
    <w:rsid w:val="00CD2107"/>
    <w:rsid w:val="00CE3541"/>
    <w:rsid w:val="00CE4FB5"/>
    <w:rsid w:val="00D00377"/>
    <w:rsid w:val="00D02346"/>
    <w:rsid w:val="00D1227F"/>
    <w:rsid w:val="00D20205"/>
    <w:rsid w:val="00D24980"/>
    <w:rsid w:val="00D32FFB"/>
    <w:rsid w:val="00D35930"/>
    <w:rsid w:val="00D37D13"/>
    <w:rsid w:val="00D4720D"/>
    <w:rsid w:val="00D5079C"/>
    <w:rsid w:val="00D521D3"/>
    <w:rsid w:val="00D57C5B"/>
    <w:rsid w:val="00D605CC"/>
    <w:rsid w:val="00D63C23"/>
    <w:rsid w:val="00D64247"/>
    <w:rsid w:val="00D655B8"/>
    <w:rsid w:val="00D83D79"/>
    <w:rsid w:val="00DA5EEA"/>
    <w:rsid w:val="00DB279C"/>
    <w:rsid w:val="00DB291A"/>
    <w:rsid w:val="00DB7F05"/>
    <w:rsid w:val="00DC0494"/>
    <w:rsid w:val="00DC07C5"/>
    <w:rsid w:val="00DC4265"/>
    <w:rsid w:val="00DC7ED3"/>
    <w:rsid w:val="00DE023C"/>
    <w:rsid w:val="00DE02A7"/>
    <w:rsid w:val="00DE1058"/>
    <w:rsid w:val="00DE4979"/>
    <w:rsid w:val="00E129EF"/>
    <w:rsid w:val="00E12B52"/>
    <w:rsid w:val="00E21BA3"/>
    <w:rsid w:val="00E260E8"/>
    <w:rsid w:val="00E330BD"/>
    <w:rsid w:val="00E340D9"/>
    <w:rsid w:val="00E354E5"/>
    <w:rsid w:val="00E37E8D"/>
    <w:rsid w:val="00E474BF"/>
    <w:rsid w:val="00E55D8E"/>
    <w:rsid w:val="00E60E7B"/>
    <w:rsid w:val="00E63C5F"/>
    <w:rsid w:val="00E74546"/>
    <w:rsid w:val="00E74F5B"/>
    <w:rsid w:val="00E865F1"/>
    <w:rsid w:val="00E932F4"/>
    <w:rsid w:val="00E957C9"/>
    <w:rsid w:val="00E975A3"/>
    <w:rsid w:val="00EB02E8"/>
    <w:rsid w:val="00EC43A6"/>
    <w:rsid w:val="00ED1635"/>
    <w:rsid w:val="00EE05E1"/>
    <w:rsid w:val="00EE2F10"/>
    <w:rsid w:val="00EF0F06"/>
    <w:rsid w:val="00EF6B1B"/>
    <w:rsid w:val="00EF6DA1"/>
    <w:rsid w:val="00F0396B"/>
    <w:rsid w:val="00F12921"/>
    <w:rsid w:val="00F13DBE"/>
    <w:rsid w:val="00F14140"/>
    <w:rsid w:val="00F16CD4"/>
    <w:rsid w:val="00F20BA4"/>
    <w:rsid w:val="00F3482F"/>
    <w:rsid w:val="00F377EC"/>
    <w:rsid w:val="00F4324B"/>
    <w:rsid w:val="00F45FDB"/>
    <w:rsid w:val="00F5083A"/>
    <w:rsid w:val="00F56719"/>
    <w:rsid w:val="00F608DF"/>
    <w:rsid w:val="00F756F3"/>
    <w:rsid w:val="00F77363"/>
    <w:rsid w:val="00F856CC"/>
    <w:rsid w:val="00FA282E"/>
    <w:rsid w:val="00FA304F"/>
    <w:rsid w:val="00FA47C4"/>
    <w:rsid w:val="00FA5190"/>
    <w:rsid w:val="00FB02C7"/>
    <w:rsid w:val="00FB1A36"/>
    <w:rsid w:val="00FC0338"/>
    <w:rsid w:val="00FD1793"/>
    <w:rsid w:val="00FE2223"/>
    <w:rsid w:val="00FE4EC8"/>
    <w:rsid w:val="00FE6A83"/>
    <w:rsid w:val="00FF451E"/>
    <w:rsid w:val="00FF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A59F"/>
  <w15:chartTrackingRefBased/>
  <w15:docId w15:val="{BF447974-76AE-4277-BF3F-4B159064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F06"/>
    <w:pPr>
      <w:spacing w:after="200" w:line="240" w:lineRule="auto"/>
      <w:jc w:val="both"/>
    </w:pPr>
    <w:rPr>
      <w:rFonts w:ascii="Times New Roman" w:hAnsi="Times New Roman"/>
      <w:sz w:val="20"/>
    </w:rPr>
  </w:style>
  <w:style w:type="paragraph" w:styleId="Heading1">
    <w:name w:val="heading 1"/>
    <w:basedOn w:val="Normal"/>
    <w:next w:val="Normal"/>
    <w:link w:val="Heading1Char"/>
    <w:autoRedefine/>
    <w:uiPriority w:val="9"/>
    <w:qFormat/>
    <w:rsid w:val="009937DE"/>
    <w:pPr>
      <w:keepNext/>
      <w:keepLines/>
      <w:spacing w:before="120"/>
      <w:jc w:val="center"/>
      <w:outlineLvl w:val="0"/>
    </w:pPr>
    <w:rPr>
      <w:rFonts w:ascii="Arial" w:eastAsiaTheme="majorEastAsia" w:hAnsi="Arial" w:cs="Arial"/>
      <w:b/>
      <w:caps/>
      <w:sz w:val="24"/>
      <w:szCs w:val="32"/>
    </w:rPr>
  </w:style>
  <w:style w:type="paragraph" w:styleId="Heading2">
    <w:name w:val="heading 2"/>
    <w:basedOn w:val="Normal"/>
    <w:next w:val="Normal"/>
    <w:link w:val="Heading2Char"/>
    <w:uiPriority w:val="9"/>
    <w:unhideWhenUsed/>
    <w:qFormat/>
    <w:rsid w:val="00EF0F06"/>
    <w:pPr>
      <w:keepNext/>
      <w:keepLines/>
      <w:spacing w:after="12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9D4C7B"/>
    <w:pPr>
      <w:keepNext/>
      <w:keepLines/>
      <w:numPr>
        <w:numId w:val="4"/>
      </w:numPr>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F8F"/>
    <w:pPr>
      <w:ind w:left="720"/>
      <w:contextualSpacing/>
    </w:pPr>
  </w:style>
  <w:style w:type="character" w:styleId="CommentReference">
    <w:name w:val="annotation reference"/>
    <w:basedOn w:val="DefaultParagraphFont"/>
    <w:uiPriority w:val="99"/>
    <w:semiHidden/>
    <w:unhideWhenUsed/>
    <w:rsid w:val="009E7062"/>
    <w:rPr>
      <w:sz w:val="16"/>
      <w:szCs w:val="16"/>
    </w:rPr>
  </w:style>
  <w:style w:type="paragraph" w:styleId="CommentText">
    <w:name w:val="annotation text"/>
    <w:basedOn w:val="Normal"/>
    <w:link w:val="CommentTextChar"/>
    <w:uiPriority w:val="99"/>
    <w:semiHidden/>
    <w:unhideWhenUsed/>
    <w:rsid w:val="009E7062"/>
    <w:rPr>
      <w:szCs w:val="20"/>
    </w:rPr>
  </w:style>
  <w:style w:type="character" w:customStyle="1" w:styleId="CommentTextChar">
    <w:name w:val="Comment Text Char"/>
    <w:basedOn w:val="DefaultParagraphFont"/>
    <w:link w:val="CommentText"/>
    <w:uiPriority w:val="99"/>
    <w:semiHidden/>
    <w:rsid w:val="009E7062"/>
    <w:rPr>
      <w:sz w:val="20"/>
      <w:szCs w:val="20"/>
    </w:rPr>
  </w:style>
  <w:style w:type="paragraph" w:styleId="CommentSubject">
    <w:name w:val="annotation subject"/>
    <w:basedOn w:val="CommentText"/>
    <w:next w:val="CommentText"/>
    <w:link w:val="CommentSubjectChar"/>
    <w:uiPriority w:val="99"/>
    <w:semiHidden/>
    <w:unhideWhenUsed/>
    <w:rsid w:val="009E7062"/>
    <w:rPr>
      <w:b/>
      <w:bCs/>
    </w:rPr>
  </w:style>
  <w:style w:type="character" w:customStyle="1" w:styleId="CommentSubjectChar">
    <w:name w:val="Comment Subject Char"/>
    <w:basedOn w:val="CommentTextChar"/>
    <w:link w:val="CommentSubject"/>
    <w:uiPriority w:val="99"/>
    <w:semiHidden/>
    <w:rsid w:val="009E7062"/>
    <w:rPr>
      <w:b/>
      <w:bCs/>
      <w:sz w:val="20"/>
      <w:szCs w:val="20"/>
    </w:rPr>
  </w:style>
  <w:style w:type="paragraph" w:styleId="BalloonText">
    <w:name w:val="Balloon Text"/>
    <w:basedOn w:val="Normal"/>
    <w:link w:val="BalloonTextChar"/>
    <w:uiPriority w:val="99"/>
    <w:semiHidden/>
    <w:unhideWhenUsed/>
    <w:rsid w:val="009E7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62"/>
    <w:rPr>
      <w:rFonts w:ascii="Segoe UI" w:hAnsi="Segoe UI" w:cs="Segoe UI"/>
      <w:sz w:val="18"/>
      <w:szCs w:val="18"/>
    </w:rPr>
  </w:style>
  <w:style w:type="character" w:styleId="LineNumber">
    <w:name w:val="line number"/>
    <w:basedOn w:val="DefaultParagraphFont"/>
    <w:uiPriority w:val="99"/>
    <w:semiHidden/>
    <w:unhideWhenUsed/>
    <w:rsid w:val="007162C9"/>
  </w:style>
  <w:style w:type="character" w:customStyle="1" w:styleId="Heading2Char">
    <w:name w:val="Heading 2 Char"/>
    <w:basedOn w:val="DefaultParagraphFont"/>
    <w:link w:val="Heading2"/>
    <w:uiPriority w:val="9"/>
    <w:rsid w:val="00EF0F06"/>
    <w:rPr>
      <w:rFonts w:ascii="Times New Roman" w:eastAsiaTheme="majorEastAsia" w:hAnsi="Times New Roman" w:cstheme="majorBidi"/>
      <w:b/>
      <w:i/>
      <w:sz w:val="20"/>
      <w:szCs w:val="26"/>
    </w:rPr>
  </w:style>
  <w:style w:type="character" w:customStyle="1" w:styleId="Heading3Char">
    <w:name w:val="Heading 3 Char"/>
    <w:basedOn w:val="DefaultParagraphFont"/>
    <w:link w:val="Heading3"/>
    <w:uiPriority w:val="9"/>
    <w:rsid w:val="009D4C7B"/>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9937DE"/>
    <w:rPr>
      <w:rFonts w:ascii="Arial" w:eastAsiaTheme="majorEastAsia" w:hAnsi="Arial" w:cs="Arial"/>
      <w:b/>
      <w:caps/>
      <w:sz w:val="24"/>
      <w:szCs w:val="32"/>
    </w:rPr>
  </w:style>
  <w:style w:type="character" w:styleId="Hyperlink">
    <w:name w:val="Hyperlink"/>
    <w:basedOn w:val="DefaultParagraphFont"/>
    <w:uiPriority w:val="99"/>
    <w:unhideWhenUsed/>
    <w:rsid w:val="00A1556D"/>
    <w:rPr>
      <w:color w:val="0000FF"/>
      <w:u w:val="single"/>
    </w:rPr>
  </w:style>
  <w:style w:type="paragraph" w:styleId="Header">
    <w:name w:val="header"/>
    <w:basedOn w:val="Normal"/>
    <w:link w:val="HeaderChar"/>
    <w:uiPriority w:val="99"/>
    <w:unhideWhenUsed/>
    <w:rsid w:val="007F68AE"/>
    <w:pPr>
      <w:tabs>
        <w:tab w:val="center" w:pos="4680"/>
        <w:tab w:val="right" w:pos="9360"/>
      </w:tabs>
    </w:pPr>
  </w:style>
  <w:style w:type="character" w:customStyle="1" w:styleId="HeaderChar">
    <w:name w:val="Header Char"/>
    <w:basedOn w:val="DefaultParagraphFont"/>
    <w:link w:val="Header"/>
    <w:uiPriority w:val="99"/>
    <w:rsid w:val="007F68AE"/>
    <w:rPr>
      <w:rFonts w:ascii="Arial" w:hAnsi="Arial"/>
      <w:sz w:val="20"/>
    </w:rPr>
  </w:style>
  <w:style w:type="paragraph" w:styleId="Footer">
    <w:name w:val="footer"/>
    <w:basedOn w:val="Normal"/>
    <w:link w:val="FooterChar"/>
    <w:uiPriority w:val="99"/>
    <w:unhideWhenUsed/>
    <w:rsid w:val="007F68AE"/>
    <w:pPr>
      <w:tabs>
        <w:tab w:val="center" w:pos="4680"/>
        <w:tab w:val="right" w:pos="9360"/>
      </w:tabs>
    </w:pPr>
  </w:style>
  <w:style w:type="character" w:customStyle="1" w:styleId="FooterChar">
    <w:name w:val="Footer Char"/>
    <w:basedOn w:val="DefaultParagraphFont"/>
    <w:link w:val="Footer"/>
    <w:uiPriority w:val="99"/>
    <w:rsid w:val="007F68AE"/>
    <w:rPr>
      <w:rFonts w:ascii="Arial" w:hAnsi="Arial"/>
      <w:sz w:val="20"/>
    </w:rPr>
  </w:style>
  <w:style w:type="paragraph" w:styleId="Caption">
    <w:name w:val="caption"/>
    <w:basedOn w:val="Normal"/>
    <w:next w:val="Normal"/>
    <w:uiPriority w:val="35"/>
    <w:unhideWhenUsed/>
    <w:qFormat/>
    <w:rsid w:val="001E5B9B"/>
    <w:rPr>
      <w:i/>
      <w:iCs/>
      <w:color w:val="44546A" w:themeColor="text2"/>
      <w:sz w:val="18"/>
      <w:szCs w:val="18"/>
    </w:rPr>
  </w:style>
  <w:style w:type="paragraph" w:customStyle="1" w:styleId="Default">
    <w:name w:val="Default"/>
    <w:rsid w:val="003851F4"/>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uiPriority w:val="99"/>
    <w:qFormat/>
    <w:rsid w:val="009937DE"/>
    <w:pPr>
      <w:spacing w:after="0"/>
      <w:jc w:val="center"/>
    </w:pPr>
    <w:rPr>
      <w:rFonts w:ascii="Arial" w:hAnsi="Arial" w:cs="Arial"/>
      <w:b/>
      <w:bCs/>
      <w:lang w:eastAsia="nl-BE"/>
    </w:rPr>
  </w:style>
  <w:style w:type="character" w:customStyle="1" w:styleId="TitleChar">
    <w:name w:val="Title Char"/>
    <w:basedOn w:val="DefaultParagraphFont"/>
    <w:link w:val="Title"/>
    <w:uiPriority w:val="99"/>
    <w:rsid w:val="009937DE"/>
    <w:rPr>
      <w:rFonts w:ascii="Arial" w:hAnsi="Arial" w:cs="Arial"/>
      <w:b/>
      <w:bCs/>
      <w:sz w:val="20"/>
      <w:lang w:eastAsia="nl-BE"/>
    </w:rPr>
  </w:style>
  <w:style w:type="paragraph" w:styleId="FootnoteText">
    <w:name w:val="footnote text"/>
    <w:basedOn w:val="Normal"/>
    <w:link w:val="FootnoteTextChar"/>
    <w:semiHidden/>
    <w:rsid w:val="009937DE"/>
    <w:pPr>
      <w:spacing w:after="120"/>
    </w:pPr>
    <w:rPr>
      <w:rFonts w:eastAsia="Times New Roman" w:cs="Times New Roman"/>
      <w:szCs w:val="20"/>
    </w:rPr>
  </w:style>
  <w:style w:type="character" w:customStyle="1" w:styleId="FootnoteTextChar">
    <w:name w:val="Footnote Text Char"/>
    <w:basedOn w:val="DefaultParagraphFont"/>
    <w:link w:val="FootnoteText"/>
    <w:semiHidden/>
    <w:rsid w:val="009937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rgardner@anchorqea.com" TargetMode="External"/><Relationship Id="rId2" Type="http://schemas.openxmlformats.org/officeDocument/2006/relationships/hyperlink" Target="mailto:David.W.Moore@usace.army.mil" TargetMode="External"/><Relationship Id="rId1" Type="http://schemas.openxmlformats.org/officeDocument/2006/relationships/hyperlink" Target="mailto:Burton.C.Suedel@usace.army.mil" TargetMode="External"/><Relationship Id="rId4" Type="http://schemas.openxmlformats.org/officeDocument/2006/relationships/hyperlink" Target="mailto:Todd.S.Bridges@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4CA85-93BD-4DDF-9F56-F0007952C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AGM</cp:lastModifiedBy>
  <cp:revision>6</cp:revision>
  <cp:lastPrinted>2018-03-30T00:46:00Z</cp:lastPrinted>
  <dcterms:created xsi:type="dcterms:W3CDTF">2018-03-30T14:00:00Z</dcterms:created>
  <dcterms:modified xsi:type="dcterms:W3CDTF">2018-03-30T14:40:00Z</dcterms:modified>
</cp:coreProperties>
</file>